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EF4444"/>
        </w:pBdr>
      </w:pPr>
    </w:p>
    <w:p>
      <w:pPr>
        <w:spacing w:after="240"/>
      </w:pPr>
      <w:r>
        <w:rPr>
          <w:rFonts w:ascii="Arial" w:hAnsi="Arial"/>
          <w:b/>
          <w:color w:val="1E1E1E"/>
          <w:sz w:val="30"/>
        </w:rPr>
        <w:t>Contractor Safety Orientation and Pre-Qualification</w:t>
      </w:r>
    </w:p>
    <w:p>
      <w:r>
        <w:rPr>
          <w:rFonts w:ascii="Arial" w:hAnsi="Arial"/>
          <w:b/>
          <w:color w:val="EF4444"/>
          <w:sz w:val="22"/>
        </w:rPr>
        <w:t>1.0 Objective &amp; Intent</w:t>
      </w:r>
    </w:p>
    <w:p>
      <w:pPr>
        <w:spacing w:after="120"/>
        <w:ind w:left="216"/>
      </w:pPr>
      <w:r>
        <w:rPr>
          <w:rFonts w:ascii="Arial" w:hAnsi="Arial"/>
          <w:color w:val="1E1E1E"/>
          <w:sz w:val="19"/>
        </w:rPr>
        <w:t>The objective of this Contractor Safety Orientation and Pre-Qualification SOP is to establish a mandatory, standardized process for vetting, orienting, and granting site access to all external contractors, subcontractors, and service personnel performing work at the facility. This procedure ensures that every contractor meets minimum safety competency standards before entering the production environment, thereby reducing the risk of incidents, injuries, and regulatory non-compliance.</w:t>
      </w:r>
    </w:p>
    <w:p>
      <w:pPr>
        <w:spacing w:after="120"/>
        <w:ind w:left="216"/>
      </w:pPr>
      <w:r>
        <w:rPr>
          <w:rFonts w:ascii="Arial" w:hAnsi="Arial"/>
          <w:color w:val="1E1E1E"/>
          <w:sz w:val="19"/>
        </w:rPr>
        <w:t>This SOP is driven by WorkSafeBC regulatory requirements under the Occupational Health and Safety Regulation (OHSR), particularly Part 3 (Rights and Responsibilities) and Part 4 (General Conditions), which mandate that employers ensure the competence and safety awareness of all workers on site, including contractors. Failure to properly pre-qualify and orient contractors exposes the company to significant liability, potential fines, and increased hazard exposure from untrained personnel.</w:t>
      </w:r>
    </w:p>
    <w:p>
      <w:pPr>
        <w:spacing w:after="120"/>
        <w:ind w:left="216"/>
      </w:pPr>
      <w:r>
        <w:rPr>
          <w:rFonts w:ascii="Arial" w:hAnsi="Arial"/>
          <w:color w:val="1E1E1E"/>
          <w:sz w:val="19"/>
        </w:rPr>
        <w:t>The specific risk mitigated by this procedure is the introduction of uncontrolled hazards by external workers unfamiliar with the facility's unique machinery, material handling processes, and emergency protocols. By enforcing a rigorous pre-qualification and orientation gate, the company maintains a consistent safety culture and prevents contractor-caused incidents that could harm employees, damage equipment, or disrupt production.</w:t>
      </w:r>
    </w:p>
    <w:p>
      <w:r>
        <w:rPr>
          <w:rFonts w:ascii="Arial" w:hAnsi="Arial"/>
          <w:b/>
          <w:color w:val="EF4444"/>
          <w:sz w:val="22"/>
        </w:rPr>
        <w:t>2.0 Operational Scope</w:t>
      </w:r>
    </w:p>
    <w:p>
      <w:pPr>
        <w:spacing w:after="120"/>
        <w:ind w:left="216"/>
      </w:pPr>
      <w:r>
        <w:rPr>
          <w:rFonts w:ascii="Arial" w:hAnsi="Arial"/>
          <w:color w:val="1E1E1E"/>
          <w:sz w:val="19"/>
        </w:rPr>
        <w:t>This procedure applies to all external contractors, subcontractors, temporary workers, and service technicians (e.g., equipment repair, electrical, HVAC, janitorial, waste removal) who require unescorted access to any area of the cabinet and millwork manufacturing facility, including the main production floor, finishing booth, lumber yard, maintenance shops, and warehouse. It does not apply to delivery drivers who remain in designated loading dock areas under direct supervision of a company employee.</w:t>
      </w:r>
    </w:p>
    <w:p>
      <w:pPr>
        <w:spacing w:after="120"/>
        <w:ind w:left="216"/>
      </w:pPr>
      <w:r>
        <w:rPr>
          <w:rFonts w:ascii="Arial" w:hAnsi="Arial"/>
          <w:color w:val="1E1E1E"/>
          <w:sz w:val="19"/>
        </w:rPr>
        <w:t>All contractor personnel must complete the pre-qualification and orientation process prior to their first day of work on site. The procedure is managed by the Plant Safety Officer (PSO) or a designated Safety Coordinator, with support from the Maintenance Manager and Production Supervisor. Contractors are required to renew their orientation annually or whenever their scope of work changes significantly.</w:t>
      </w:r>
    </w:p>
    <w:p>
      <w:r>
        <w:rPr>
          <w:rFonts w:ascii="Arial" w:hAnsi="Arial"/>
          <w:b/>
          <w:color w:val="EF4444"/>
          <w:sz w:val="22"/>
        </w:rPr>
        <w:t>3.0 Hazard Identification &amp; Mandatory PPE</w:t>
      </w:r>
    </w:p>
    <w:p>
      <w:pPr>
        <w:spacing w:after="120"/>
        <w:ind w:left="360"/>
      </w:pPr>
      <w:r>
        <w:rPr>
          <w:rFonts w:ascii="Arial" w:hAnsi="Arial"/>
          <w:color w:val="1E1E1E"/>
          <w:sz w:val="19"/>
        </w:rPr>
        <w:t>▪  Struck-by hazards from moving equipment (forklifts, overhead cranes, panel saws) and falling objects (stacked lumber, tool drops)</w:t>
      </w:r>
    </w:p>
    <w:p>
      <w:pPr>
        <w:spacing w:after="120"/>
        <w:ind w:left="360"/>
      </w:pPr>
      <w:r>
        <w:rPr>
          <w:rFonts w:ascii="Arial" w:hAnsi="Arial"/>
          <w:color w:val="1E1E1E"/>
          <w:sz w:val="19"/>
        </w:rPr>
        <w:t>▪  Pinch points and caught-between hazards from conveyor systems, press brakes, and automated edgebanders</w:t>
      </w:r>
    </w:p>
    <w:p>
      <w:pPr>
        <w:spacing w:after="120"/>
        <w:ind w:left="360"/>
      </w:pPr>
      <w:r>
        <w:rPr>
          <w:rFonts w:ascii="Arial" w:hAnsi="Arial"/>
          <w:color w:val="1E1E1E"/>
          <w:sz w:val="19"/>
        </w:rPr>
        <w:t>▪  Respiratory hazards from wood dust, VOCs in finishing booth, and adhesive fumes</w:t>
      </w:r>
    </w:p>
    <w:p>
      <w:pPr>
        <w:spacing w:after="120"/>
        <w:ind w:left="360"/>
      </w:pPr>
      <w:r>
        <w:rPr>
          <w:rFonts w:ascii="Arial" w:hAnsi="Arial"/>
          <w:color w:val="1E1E1E"/>
          <w:sz w:val="19"/>
        </w:rPr>
        <w:t>▪  Noise exposure from CNC routers, dust collectors, and pneumatic tools (exceeds 85 dBA)</w:t>
      </w:r>
    </w:p>
    <w:p>
      <w:pPr>
        <w:spacing w:after="120"/>
        <w:ind w:left="360"/>
      </w:pPr>
      <w:r>
        <w:rPr>
          <w:rFonts w:ascii="Arial" w:hAnsi="Arial"/>
          <w:color w:val="1E1E1E"/>
          <w:sz w:val="19"/>
        </w:rPr>
        <w:t>▪  Slip, trip, and fall hazards from sawdust accumulation, compressed air hoses, and uneven flooring</w:t>
      </w:r>
    </w:p>
    <w:p>
      <w:pPr>
        <w:spacing w:after="120"/>
        <w:ind w:left="360"/>
      </w:pPr>
      <w:r>
        <w:rPr>
          <w:rFonts w:ascii="Arial" w:hAnsi="Arial"/>
          <w:color w:val="1E1E1E"/>
          <w:sz w:val="19"/>
        </w:rPr>
        <w:t>▪  Electrical shock from exposed wiring, portable tools, and temporary power setups</w:t>
      </w:r>
    </w:p>
    <w:p>
      <w:pPr>
        <w:spacing w:after="120"/>
        <w:ind w:left="360"/>
      </w:pPr>
      <w:r>
        <w:rPr>
          <w:rFonts w:ascii="Arial" w:hAnsi="Arial"/>
          <w:color w:val="1E1E1E"/>
          <w:sz w:val="19"/>
        </w:rPr>
        <w:t>▪  Fire and explosion risk from combustible dust, flammable finishes, and solvent storage</w:t>
      </w:r>
    </w:p>
    <w:p>
      <w:pPr>
        <w:spacing w:after="120"/>
        <w:ind w:left="360"/>
      </w:pPr>
      <w:r>
        <w:rPr>
          <w:rFonts w:ascii="Arial" w:hAnsi="Arial"/>
          <w:color w:val="1E1E1E"/>
          <w:sz w:val="19"/>
        </w:rPr>
        <w:t>▪  CSA-Approved Steel Toed Boots with puncture-resistant sole (minimum 6-inch ankle coverage)</w:t>
      </w:r>
    </w:p>
    <w:p>
      <w:pPr>
        <w:spacing w:after="120"/>
        <w:ind w:left="360"/>
      </w:pPr>
      <w:r>
        <w:rPr>
          <w:rFonts w:ascii="Arial" w:hAnsi="Arial"/>
          <w:color w:val="1E1E1E"/>
          <w:sz w:val="19"/>
        </w:rPr>
        <w:t>▪  ANSI Z87.1-Approved Safety Glasses with side shields (clear or tinted as appropriate)</w:t>
      </w:r>
    </w:p>
    <w:p>
      <w:pPr>
        <w:spacing w:after="120"/>
        <w:ind w:left="360"/>
      </w:pPr>
      <w:r>
        <w:rPr>
          <w:rFonts w:ascii="Arial" w:hAnsi="Arial"/>
          <w:color w:val="1E1E1E"/>
          <w:sz w:val="19"/>
        </w:rPr>
        <w:t>▪  ANSI S3.19-Approved Hearing Protection (earplugs or earmuffs, minimum NRR 25 dB)</w:t>
      </w:r>
    </w:p>
    <w:p>
      <w:pPr>
        <w:spacing w:after="120"/>
        <w:ind w:left="360"/>
      </w:pPr>
      <w:r>
        <w:rPr>
          <w:rFonts w:ascii="Arial" w:hAnsi="Arial"/>
          <w:color w:val="1E1E1E"/>
          <w:sz w:val="19"/>
        </w:rPr>
        <w:t>▪  High-Visibility Safety Vest (Class 2 or 3, with reflective striping) when on production floor</w:t>
      </w:r>
    </w:p>
    <w:p>
      <w:pPr>
        <w:spacing w:after="120"/>
        <w:ind w:left="360"/>
      </w:pPr>
      <w:r>
        <w:rPr>
          <w:rFonts w:ascii="Arial" w:hAnsi="Arial"/>
          <w:color w:val="1E1E1E"/>
          <w:sz w:val="19"/>
        </w:rPr>
        <w:t>▪  Hard Hat (ANSI Z89.1 Type I or II) when working under overhead hazards or in lumber yard</w:t>
      </w:r>
    </w:p>
    <w:p>
      <w:pPr>
        <w:spacing w:after="120"/>
        <w:ind w:left="360"/>
      </w:pPr>
      <w:r>
        <w:rPr>
          <w:rFonts w:ascii="Arial" w:hAnsi="Arial"/>
          <w:color w:val="1E1E1E"/>
          <w:sz w:val="19"/>
        </w:rPr>
        <w:t>▪  Cut-Resistant Gloves (ANSI A4 or higher) when handling sharp materials or tools</w:t>
      </w:r>
    </w:p>
    <w:p>
      <w:pPr>
        <w:spacing w:after="120"/>
        <w:ind w:left="360"/>
      </w:pPr>
      <w:r>
        <w:rPr>
          <w:rFonts w:ascii="Arial" w:hAnsi="Arial"/>
          <w:color w:val="1E1E1E"/>
          <w:sz w:val="19"/>
        </w:rPr>
        <w:t>▪  Respirator (N95 or half-face with appropriate cartridge) when in finishing booth or dusty areas (must be fit-tested)</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Contractor Safety Orientation Checklist (printed or digital form)</w:t>
              <w:br/>
            </w:r>
            <w:r>
              <w:rPr>
                <w:rFonts w:ascii="Arial" w:hAnsi="Arial"/>
                <w:color w:val="1E1E1E"/>
                <w:sz w:val="19"/>
              </w:rPr>
              <w:t>•  Pre-Qualification Documentation Package (includes insurance certificates, WCB clearance letter, safety program summary, and training records)</w:t>
              <w:br/>
            </w:r>
            <w:r>
              <w:rPr>
                <w:rFonts w:ascii="Arial" w:hAnsi="Arial"/>
                <w:color w:val="1E1E1E"/>
                <w:sz w:val="19"/>
              </w:rPr>
              <w:t>•  Valid Government-Issued Photo ID (driver's license, passport, or provincial ID)</w:t>
              <w:br/>
            </w:r>
            <w:r>
              <w:rPr>
                <w:rFonts w:ascii="Arial" w:hAnsi="Arial"/>
                <w:color w:val="1E1E1E"/>
                <w:sz w:val="19"/>
              </w:rPr>
              <w:t>•  Contractor Safety Orientation Presentation (slides or video covering site rules, emergency procedures, and hazard awareness)</w:t>
              <w:br/>
            </w:r>
            <w:r>
              <w:rPr>
                <w:rFonts w:ascii="Arial" w:hAnsi="Arial"/>
                <w:color w:val="1E1E1E"/>
                <w:sz w:val="19"/>
              </w:rPr>
              <w:t>•  Site-Specific Hazard Map (showing emergency exits, fire extinguishers, first aid stations, and high-risk zones)</w:t>
              <w:br/>
            </w:r>
            <w:r>
              <w:rPr>
                <w:rFonts w:ascii="Arial" w:hAnsi="Arial"/>
                <w:color w:val="1E1E1E"/>
                <w:sz w:val="19"/>
              </w:rPr>
              <w:t>•  Contractor Sign-In/Sign-Out Log (paper or digital kiosk)</w:t>
              <w:br/>
            </w:r>
            <w:r>
              <w:rPr>
                <w:rFonts w:ascii="Arial" w:hAnsi="Arial"/>
                <w:color w:val="1E1E1E"/>
                <w:sz w:val="19"/>
              </w:rPr>
              <w:t>•  Personal Lockout/Tagout (LOTO) Kit (if contractor will perform maintenance or service on equipment)</w:t>
              <w:br/>
            </w:r>
            <w:r>
              <w:rPr>
                <w:rFonts w:ascii="Arial" w:hAnsi="Arial"/>
                <w:color w:val="1E1E1E"/>
                <w:sz w:val="19"/>
              </w:rPr>
              <w:t>•  Portable Fire Extinguisher (if contractor brings hot work equipment)</w:t>
              <w:br/>
            </w:r>
            <w:r>
              <w:rPr>
                <w:rFonts w:ascii="Arial" w:hAnsi="Arial"/>
                <w:color w:val="1E1E1E"/>
                <w:sz w:val="19"/>
              </w:rPr>
              <w:t>•  Spill Kit (if contractor handles chemicals or fuels)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Contractor submits pre-qualification documentation at least 5 business days before scheduled work. The Plant Safety Officer reviews insurance (minimum $2M liability, WSB clearance), safety program, and training records. Incomplete or expired documents result in immediate rejection and rescheduling.</w:t>
              <w:br/>
            </w:r>
            <w:r>
              <w:rPr>
                <w:rFonts w:ascii="Arial" w:hAnsi="Arial"/>
                <w:color w:val="1E1E1E"/>
                <w:sz w:val="19"/>
              </w:rPr>
              <w:t>2.  Upon approval, the contractor is scheduled for a mandatory on-site safety orientation. The orientation is conducted by the Plant Safety Officer or a designated Safety Coordinator in a quiet meeting room away from production noise. The contractor must present valid government-issued photo ID for verification.</w:t>
              <w:br/>
            </w:r>
            <w:r>
              <w:rPr>
                <w:rFonts w:ascii="Arial" w:hAnsi="Arial"/>
                <w:color w:val="1E1E1E"/>
                <w:sz w:val="19"/>
              </w:rPr>
              <w:t>3.  The Safety Coordinator reviews the Contractor Safety Orientation Checklist, covering: site-specific hazards (moving equipment, dust, chemicals), emergency procedures (fire alarm, evacuation routes, muster point), first aid locations, and reporting requirements for injuries or near misses. The contractor signs the checklist to confirm understanding.</w:t>
              <w:br/>
            </w:r>
            <w:r>
              <w:rPr>
                <w:rFonts w:ascii="Arial" w:hAnsi="Arial"/>
                <w:color w:val="1E1E1E"/>
                <w:sz w:val="19"/>
              </w:rPr>
              <w:t>4.  The contractor is issued a site-specific hazard map and a temporary contractor ID badge (if applicable). The Safety Coordinator explains the color-coded zones (red = restricted, yellow = caution, green = general access) and emphasizes that the contractor must never enter a red zone without explicit permission and escort.</w:t>
              <w:br/>
            </w:r>
            <w:r>
              <w:rPr>
                <w:rFonts w:ascii="Arial" w:hAnsi="Arial"/>
                <w:color w:val="1E1E1E"/>
                <w:sz w:val="19"/>
              </w:rPr>
              <w:t>5.  The contractor is escorted on a brief walking tour of the facility to identify key safety features: emergency exits, fire extinguishers, eyewash stations, first aid kits, and the designated smoking area. The tour avoids active production areas to minimize distraction and hazard exposure.</w:t>
              <w:br/>
            </w:r>
            <w:r>
              <w:rPr>
                <w:rFonts w:ascii="Arial" w:hAnsi="Arial"/>
                <w:color w:val="1E1E1E"/>
                <w:sz w:val="19"/>
              </w:rPr>
              <w:t>6.  The contractor is informed of the sign-in/sign-out procedure. They must sign in at the main office each day before entering the production floor and sign out when leaving. Failure to sign out will trigger a site-wide search and potential disciplinary action for the contractor's employer.</w:t>
              <w:br/>
            </w:r>
            <w:r>
              <w:rPr>
                <w:rFonts w:ascii="Arial" w:hAnsi="Arial"/>
                <w:color w:val="1E1E1E"/>
                <w:sz w:val="19"/>
              </w:rPr>
              <w:t>7.  The contractor is briefed on the facility's Lockout/Tagout (LOTO) policy. If their work involves servicing or maintaining any equipment, they must use their own personal LOTO lock and follow the site-specific LOTO procedure. A LOTO demonstration is provided if requested.</w:t>
              <w:br/>
            </w:r>
            <w:r>
              <w:rPr>
                <w:rFonts w:ascii="Arial" w:hAnsi="Arial"/>
                <w:color w:val="1E1E1E"/>
                <w:sz w:val="19"/>
              </w:rPr>
              <w:t>8.  The contractor is required to sign the Contractor Safety Acknowledgement Form, confirming they have received and understood the orientation, will comply with all site safety rules, and will report any hazards or incidents immediately. A copy of the signed form is filed in the contractor's safety record.</w:t>
              <w:br/>
            </w:r>
            <w:r>
              <w:rPr>
                <w:rFonts w:ascii="Arial" w:hAnsi="Arial"/>
                <w:color w:val="1E1E1E"/>
                <w:sz w:val="19"/>
              </w:rPr>
              <w:t>9.  The contractor is assigned a company contact (e.g., Maintenance Manager or Production Supervisor) who will be their point of contact for the duration of the work. The contractor must check in with this contact at the start and end of each shift and before performing any high-risk tasks (e.g., hot work, confined space entry).</w:t>
              <w:br/>
            </w:r>
            <w:r>
              <w:rPr>
                <w:rFonts w:ascii="Arial" w:hAnsi="Arial"/>
                <w:color w:val="1E1E1E"/>
                <w:sz w:val="19"/>
              </w:rPr>
              <w:t>10.  The Plant Safety Officer conducts a random spot check within the first 2 hours of the contractor's first work day to verify compliance with PPE, safe work practices, and understanding of site rules. Any violations result in immediate stop-work and re-orientation or removal from site.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