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EF4444"/>
                <w:sz w:val="22"/>
              </w:rPr>
              <w:t>[ INSERT YOUR COMPANY NAME HERE ]</w:t>
              <w:br/>
            </w:r>
            <w:r>
              <w:rPr>
                <w:rFonts w:ascii="Arial" w:hAnsi="Arial"/>
                <w:color w:val="787878"/>
                <w:sz w:val="19"/>
              </w:rPr>
              <w:t>Health &amp; Safety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30 min</w:t>
            </w:r>
          </w:p>
        </w:tc>
      </w:tr>
    </w:tbl>
    <w:p>
      <w:pPr>
        <w:spacing w:after="280"/>
        <w:pBdr>
          <w:bottom w:val="single" w:sz="8" w:space="8" w:color="EF4444"/>
        </w:pBdr>
      </w:pPr>
    </w:p>
    <w:p>
      <w:pPr>
        <w:spacing w:after="240"/>
      </w:pPr>
      <w:r>
        <w:rPr>
          <w:rFonts w:ascii="Arial" w:hAnsi="Arial"/>
          <w:b/>
          <w:color w:val="1E1E1E"/>
          <w:sz w:val="30"/>
        </w:rPr>
        <w:t>Hazardous Materials (Hazmat) Storage and Segregation Protocol</w:t>
      </w:r>
    </w:p>
    <w:p>
      <w:r>
        <w:rPr>
          <w:rFonts w:ascii="Arial" w:hAnsi="Arial"/>
          <w:b/>
          <w:color w:val="EF4444"/>
          <w:sz w:val="22"/>
        </w:rPr>
        <w:t>1.0 Objective &amp; Intent</w:t>
      </w:r>
    </w:p>
    <w:p>
      <w:pPr>
        <w:spacing w:after="120"/>
        <w:ind w:left="216"/>
      </w:pPr>
      <w:r>
        <w:rPr>
          <w:rFonts w:ascii="Arial" w:hAnsi="Arial"/>
          <w:color w:val="1E1E1E"/>
          <w:sz w:val="19"/>
        </w:rPr>
        <w:t>The objective of this Hazardous Materials (Hazmat) Storage and Segregation Protocol is to define mandatory safety procedures for the receipt, storage, and segregation of all hazardous materials used in cabinet and millwork manufacturing. This SOP is intended to prevent dangerous chemical reactions, fires, explosions, toxic exposures, and environmental releases by ensuring incompatible materials are physically separated and stored in accordance with WorkSafeBC regulations (OHS Regulation Part 5: Chemical Agents and Biological Agents) and the National Fire Code of Canada. Strict adherence to this protocol mitigates the risk of catastrophic incidents and protects all personnel, property, and the environment.</w:t>
      </w:r>
    </w:p>
    <w:p>
      <w:r>
        <w:rPr>
          <w:rFonts w:ascii="Arial" w:hAnsi="Arial"/>
          <w:b/>
          <w:color w:val="EF4444"/>
          <w:sz w:val="22"/>
        </w:rPr>
        <w:t>2.0 Operational Scope</w:t>
      </w:r>
    </w:p>
    <w:p>
      <w:pPr>
        <w:spacing w:after="120"/>
        <w:ind w:left="216"/>
      </w:pPr>
      <w:r>
        <w:rPr>
          <w:rFonts w:ascii="Arial" w:hAnsi="Arial"/>
          <w:color w:val="1E1E1E"/>
          <w:sz w:val="19"/>
        </w:rPr>
        <w:t>This procedure applies to all maintenance personnel, production operators, material handlers, and supervisory staff involved in the handling, storage, or disposal of hazardous materials at the facility. It covers all areas where hazardous materials are stored, including the main chemical storage room, satellite accumulation areas, paint mixing rooms, adhesive storage cabinets, and any temporary staging zones. This protocol applies to all incoming shipments, internal transfers, and waste accumulation of hazardous materials, including but not limited to: flammable solvents (e.g., acetone, lacquer thinner, denatured alcohol), combustible finishes (e.g., varnishes, stains, sealers), adhesives (e.g., contact cement, epoxy resins, polyurethane glues), compressed gases (e.g., propane, acetylene, oxygen), oxidizers (e.g., hydrogen peroxide, pool chemicals), corrosives (e.g., acids, bases, caustic cleaners), and hazardous wastes (e.g., used solvents, contaminated rags, paint sludge).</w:t>
      </w:r>
    </w:p>
    <w:p>
      <w:r>
        <w:rPr>
          <w:rFonts w:ascii="Arial" w:hAnsi="Arial"/>
          <w:b/>
          <w:color w:val="EF4444"/>
          <w:sz w:val="22"/>
        </w:rPr>
        <w:t>3.0 Hazard Identification &amp; Mandatory PPE</w:t>
      </w:r>
    </w:p>
    <w:p>
      <w:pPr>
        <w:spacing w:after="120"/>
        <w:ind w:left="360"/>
      </w:pPr>
      <w:r>
        <w:rPr>
          <w:rFonts w:ascii="Arial" w:hAnsi="Arial"/>
          <w:color w:val="1E1E1E"/>
          <w:sz w:val="19"/>
        </w:rPr>
        <w:t>▪  Chemical Burns: Corrosive materials (acids, bases) can cause severe skin and eye damage upon contact.</w:t>
      </w:r>
    </w:p>
    <w:p>
      <w:pPr>
        <w:spacing w:after="120"/>
        <w:ind w:left="360"/>
      </w:pPr>
      <w:r>
        <w:rPr>
          <w:rFonts w:ascii="Arial" w:hAnsi="Arial"/>
          <w:color w:val="1E1E1E"/>
          <w:sz w:val="19"/>
        </w:rPr>
        <w:t>▪  Toxic Inhalation: Vapors from solvents, adhesives, and finishes can cause respiratory irritation, dizziness, or long-term health effects.</w:t>
      </w:r>
    </w:p>
    <w:p>
      <w:pPr>
        <w:spacing w:after="120"/>
        <w:ind w:left="360"/>
      </w:pPr>
      <w:r>
        <w:rPr>
          <w:rFonts w:ascii="Arial" w:hAnsi="Arial"/>
          <w:color w:val="1E1E1E"/>
          <w:sz w:val="19"/>
        </w:rPr>
        <w:t>▪  Fire and Explosion: Flammable and combustible liquids create vapor clouds that can ignite from sparks, static electricity, or hot surfaces.</w:t>
      </w:r>
    </w:p>
    <w:p>
      <w:pPr>
        <w:spacing w:after="120"/>
        <w:ind w:left="360"/>
      </w:pPr>
      <w:r>
        <w:rPr>
          <w:rFonts w:ascii="Arial" w:hAnsi="Arial"/>
          <w:color w:val="1E1E1E"/>
          <w:sz w:val="19"/>
        </w:rPr>
        <w:t>▪  Reactive Hazards: Incompatible chemicals (e.g., oxidizers with flammables, acids with bases) can react violently, causing fires, explosions, or toxic gas releases.</w:t>
      </w:r>
    </w:p>
    <w:p>
      <w:pPr>
        <w:spacing w:after="120"/>
        <w:ind w:left="360"/>
      </w:pPr>
      <w:r>
        <w:rPr>
          <w:rFonts w:ascii="Arial" w:hAnsi="Arial"/>
          <w:color w:val="1E1E1E"/>
          <w:sz w:val="19"/>
        </w:rPr>
        <w:t>▪  Spill and Leak Hazards: Leaking containers or improper handling can lead to slips, falls, and environmental contamination.</w:t>
      </w:r>
    </w:p>
    <w:p>
      <w:pPr>
        <w:spacing w:after="120"/>
        <w:ind w:left="360"/>
      </w:pPr>
      <w:r>
        <w:rPr>
          <w:rFonts w:ascii="Arial" w:hAnsi="Arial"/>
          <w:color w:val="1E1E1E"/>
          <w:sz w:val="19"/>
        </w:rPr>
        <w:t>▪  CSA-Approved Safety Glasses with side shields (mandatory at all times in storage areas).</w:t>
      </w:r>
    </w:p>
    <w:p>
      <w:pPr>
        <w:spacing w:after="120"/>
        <w:ind w:left="360"/>
      </w:pPr>
      <w:r>
        <w:rPr>
          <w:rFonts w:ascii="Arial" w:hAnsi="Arial"/>
          <w:color w:val="1E1E1E"/>
          <w:sz w:val="19"/>
        </w:rPr>
        <w:t>▪  Chemical-Resistant Gloves (e.g., nitrile, neoprene, or butyl rubber) rated for the specific chemicals being handled.</w:t>
      </w:r>
    </w:p>
    <w:p>
      <w:pPr>
        <w:spacing w:after="120"/>
        <w:ind w:left="360"/>
      </w:pPr>
      <w:r>
        <w:rPr>
          <w:rFonts w:ascii="Arial" w:hAnsi="Arial"/>
          <w:color w:val="1E1E1E"/>
          <w:sz w:val="19"/>
        </w:rPr>
        <w:t>▪  CSA-Approved Steel Toed Boots with chemical-resistant soles.</w:t>
      </w:r>
    </w:p>
    <w:p>
      <w:pPr>
        <w:spacing w:after="120"/>
        <w:ind w:left="360"/>
      </w:pPr>
      <w:r>
        <w:rPr>
          <w:rFonts w:ascii="Arial" w:hAnsi="Arial"/>
          <w:color w:val="1E1E1E"/>
          <w:sz w:val="19"/>
        </w:rPr>
        <w:t>▪  Long-Sleeve Flame-Resistant Lab Coat or Coverall (when handling flammables or corrosives).</w:t>
      </w:r>
    </w:p>
    <w:p>
      <w:pPr>
        <w:spacing w:after="120"/>
        <w:ind w:left="360"/>
      </w:pPr>
      <w:r>
        <w:rPr>
          <w:rFonts w:ascii="Arial" w:hAnsi="Arial"/>
          <w:color w:val="1E1E1E"/>
          <w:sz w:val="19"/>
        </w:rPr>
        <w:t>▪  Face Shield (when pouring or transferring corrosive or highly toxic liquids).</w:t>
      </w:r>
    </w:p>
    <w:p>
      <w:pPr>
        <w:spacing w:after="120"/>
        <w:ind w:left="360"/>
      </w:pPr>
      <w:r>
        <w:rPr>
          <w:rFonts w:ascii="Arial" w:hAnsi="Arial"/>
          <w:color w:val="1E1E1E"/>
          <w:sz w:val="19"/>
        </w:rPr>
        <w:t>▪  Respiratory Protection: Half-face or full-face respirator with organic vapor cartridges (if exposure limits may be exceeded or during spill cleanup).</w:t>
      </w:r>
    </w:p>
    <w:p>
      <w:r>
        <w:rPr>
          <w:rFonts w:ascii="Arial" w:hAnsi="Arial"/>
          <w:b/>
          <w:color w:val="EF4444"/>
          <w:sz w:val="22"/>
        </w:rPr>
        <w:t>4.0 Required Safety Equipment &amp; Tools</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Chemical Storage Cabinets: Flammable liquid storage cabinets (self-closing, vented) and corrosive storage cabinets.</w:t>
              <w:br/>
            </w:r>
            <w:r>
              <w:rPr>
                <w:rFonts w:ascii="Arial" w:hAnsi="Arial"/>
                <w:color w:val="1E1E1E"/>
                <w:sz w:val="19"/>
              </w:rPr>
              <w:t>•  Secondary Containment: Spill containment pallets, trays, or basins for drums and intermediate bulk containers (IBCs).</w:t>
              <w:br/>
            </w:r>
            <w:r>
              <w:rPr>
                <w:rFonts w:ascii="Arial" w:hAnsi="Arial"/>
                <w:color w:val="1E1E1E"/>
                <w:sz w:val="19"/>
              </w:rPr>
              <w:t>•  Spill Response Kit: Absorbent pads, socks, pillows, neutralizers (acid/base), disposal bags, and personal protective equipment (PPE) for spill cleanup.</w:t>
              <w:br/>
            </w:r>
            <w:r>
              <w:rPr>
                <w:rFonts w:ascii="Arial" w:hAnsi="Arial"/>
                <w:color w:val="1E1E1E"/>
                <w:sz w:val="19"/>
              </w:rPr>
              <w:t>•  Safety Data Sheet (SDS) Binder or Digital Access Station: Located immediately outside the storage area.</w:t>
              <w:br/>
            </w:r>
            <w:r>
              <w:rPr>
                <w:rFonts w:ascii="Arial" w:hAnsi="Arial"/>
                <w:color w:val="1E1E1E"/>
                <w:sz w:val="19"/>
              </w:rPr>
              <w:t>•  Fire Extinguisher: Class B (flammable liquids) and Class C (electrical) rated extinguisher mounted within 10 meters of storage area.</w:t>
              <w:br/>
            </w:r>
            <w:r>
              <w:rPr>
                <w:rFonts w:ascii="Arial" w:hAnsi="Arial"/>
                <w:color w:val="1E1E1E"/>
                <w:sz w:val="19"/>
              </w:rPr>
              <w:t>•  Emergency Eyewash and Safety Shower: Plumbed or portable unit within 10 seconds travel time from storage area.</w:t>
              <w:br/>
            </w:r>
            <w:r>
              <w:rPr>
                <w:rFonts w:ascii="Arial" w:hAnsi="Arial"/>
                <w:color w:val="1E1E1E"/>
                <w:sz w:val="19"/>
              </w:rPr>
              <w:t>•  Ventilation System: Explosion-proof mechanical ventilation (minimum 6 air changes per hour) for indoor storage areas.</w:t>
              <w:br/>
            </w:r>
            <w:r>
              <w:rPr>
                <w:rFonts w:ascii="Arial" w:hAnsi="Arial"/>
                <w:color w:val="1E1E1E"/>
                <w:sz w:val="19"/>
              </w:rPr>
              <w:t>•  Bonding and Grounding Cables: For transferring flammable liquids between containers to prevent static discharge.</w:t>
              <w:br/>
            </w:r>
            <w:r>
              <w:rPr>
                <w:rFonts w:ascii="Arial" w:hAnsi="Arial"/>
                <w:color w:val="1E1E1E"/>
                <w:sz w:val="19"/>
              </w:rPr>
              <w:t>•  Labeling Supplies: GHS-compliant labels, hazard warning signs, and segregation placards.</w:t>
              <w:br/>
            </w:r>
            <w:r>
              <w:rPr>
                <w:rFonts w:ascii="Arial" w:hAnsi="Arial"/>
                <w:color w:val="1E1E1E"/>
                <w:sz w:val="19"/>
              </w:rPr>
              <w:t>•  Portable Gas Monitor: Multi-gas detector (LEL, O2, H2S, CO) for confined space or spill response.</w:t>
            </w:r>
          </w:p>
        </w:tc>
      </w:tr>
    </w:tbl>
    <w:p>
      <w:pPr>
        <w:spacing w:after="240"/>
      </w:pPr>
    </w:p>
    <w:p>
      <w:r>
        <w:rPr>
          <w:rFonts w:ascii="Arial" w:hAnsi="Arial"/>
          <w:b/>
          <w:color w:val="EF4444"/>
          <w:sz w:val="22"/>
        </w:rPr>
        <w:t>5.0 Step-by-Step Safety Procedure</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1.  Verify that all hazardous materials are received with a complete and legible Safety Data Sheet (SDS) and that each container is properly labeled with GHS-compliant labels including product identifier, hazard pictograms, signal word, hazard statements, and precautionary statements. Reject any unlabeled or damaged containers.</w:t>
              <w:br/>
            </w:r>
            <w:r>
              <w:rPr>
                <w:rFonts w:ascii="Arial" w:hAnsi="Arial"/>
                <w:color w:val="1E1E1E"/>
                <w:sz w:val="19"/>
              </w:rPr>
              <w:t>2.  Consult the chemical compatibility chart (e.g., based on the NFPA 704 system or the SDS Section 10: Stability and Reactivity) to determine the storage class for each material. Segregate materials into the following groups: Flammable/Combustible Liquids, Oxidizers, Corrosives (Acids and Bases separately), Toxics, and Compressed Gases.</w:t>
              <w:br/>
            </w:r>
            <w:r>
              <w:rPr>
                <w:rFonts w:ascii="Arial" w:hAnsi="Arial"/>
                <w:color w:val="1E1E1E"/>
                <w:sz w:val="19"/>
              </w:rPr>
              <w:t>3.  Place all flammable and combustible liquids in approved, self-closing flammable liquid storage cabinets that are grounded and bonded. Do not store more than 250 L (66 gallons) per cabinet unless additional fire protection is provided. Keep cabinet doors closed and latched at all times.</w:t>
              <w:br/>
            </w:r>
            <w:r>
              <w:rPr>
                <w:rFonts w:ascii="Arial" w:hAnsi="Arial"/>
                <w:color w:val="1E1E1E"/>
                <w:sz w:val="19"/>
              </w:rPr>
              <w:t>4.  Store corrosives (acids and bases) in dedicated corrosive storage cabinets made of polyethylene or coated steel. Ensure acids are stored separately from bases, and both are isolated from flammables, oxidizers, and reactive metals. Use secondary containment trays for all liquid corrosives.</w:t>
              <w:br/>
            </w:r>
            <w:r>
              <w:rPr>
                <w:rFonts w:ascii="Arial" w:hAnsi="Arial"/>
                <w:color w:val="1E1E1E"/>
                <w:sz w:val="19"/>
              </w:rPr>
              <w:t>5.  Store oxidizers (e.g., hydrogen peroxide, pool chemicals) in a cool, dry, well-ventilated area away from any flammable materials, organic substances, reducing agents, and combustible materials. Keep oxidizers in their original containers and never store them on wooden shelves or near paper products.</w:t>
              <w:br/>
            </w:r>
            <w:r>
              <w:rPr>
                <w:rFonts w:ascii="Arial" w:hAnsi="Arial"/>
                <w:color w:val="1E1E1E"/>
                <w:sz w:val="19"/>
              </w:rPr>
              <w:t>6.  Store compressed gas cylinders upright and secured with chains or straps to prevent tipping. Segregate cylinders by hazard class: flammable gases (e.g., propane, acetylene) away from oxidizers (e.g., oxygen) by at least 6 meters (20 feet) or a 1.5-hour fire-rated wall. Ensure valve caps are in place when not in use.</w:t>
              <w:br/>
            </w:r>
            <w:r>
              <w:rPr>
                <w:rFonts w:ascii="Arial" w:hAnsi="Arial"/>
                <w:color w:val="1E1E1E"/>
                <w:sz w:val="19"/>
              </w:rPr>
              <w:t>7.  Label all storage areas with appropriate hazard warning signs (e.g., FLAMMABLE, CORROSIVE, OXIDIZER) and post the chemical compatibility chart and emergency contact numbers (e.g., fire department, poison control, spill response team) at the entrance. Ensure the SDS binder or digital access station is current and accessible.</w:t>
              <w:br/>
            </w:r>
            <w:r>
              <w:rPr>
                <w:rFonts w:ascii="Arial" w:hAnsi="Arial"/>
                <w:color w:val="1E1E1E"/>
                <w:sz w:val="19"/>
              </w:rPr>
              <w:t>8.  Conduct a daily visual inspection of the storage area to check for leaks, damaged containers, improper segregation, blocked access to safety equipment (eyewash, shower, fire extinguisher), and accumulation of combustible debris. Document findings on the Hazmat Storage Inspection Log and report any deficiencies immediately to the supervisor.</w:t>
              <w:br/>
            </w:r>
            <w:r>
              <w:rPr>
                <w:rFonts w:ascii="Arial" w:hAnsi="Arial"/>
                <w:color w:val="1E1E1E"/>
                <w:sz w:val="19"/>
              </w:rPr>
              <w:t>9.  When transferring hazardous materials from bulk containers to smaller dispensing containers, use bonding and grounding cables to prevent static discharge. Perform transfers in a well-ventilated area away from ignition sources. Label all secondary containers immediately with the full GHS label or a product identifier and hazard warning.</w:t>
              <w:br/>
            </w:r>
            <w:r>
              <w:rPr>
                <w:rFonts w:ascii="Arial" w:hAnsi="Arial"/>
                <w:color w:val="1E1E1E"/>
                <w:sz w:val="19"/>
              </w:rPr>
              <w:t>10.  In the event of a spill or leak, immediately evacuate the area, alert nearby personnel, and initiate the facility's Emergency Spill Response Plan. Only trained personnel wearing appropriate PPE (including respirator if needed) should attempt cleanup. Use the spill response kit to contain and absorb the material, then dispose of contaminated materials as hazardous waste.</w:t>
            </w:r>
          </w:p>
        </w:tc>
      </w:tr>
    </w:tbl>
    <w:p>
      <w:pPr>
        <w:spacing w:after="240"/>
      </w:pP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safety template provided for educational and informational purposes only. It does not constitute professional engineering, legal, or regulatory compliance advice. The end-user assumes all liability for validating all safety protocols against specific machinery manufacturer manuals and local occupational health and safety regulations (e.g., WorkSafeBC, CSA standards) before deployment.</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SafeDesk Digital Safety Management</w:t>
          </w:r>
        </w:p>
      </w:tc>
      <w:tc>
        <w:tcPr>
          <w:tcW w:type="dxa" w:w="5400"/>
        </w:tcPr>
        <w:p>
          <w:pPr>
            <w:jc w:val="right"/>
          </w:pPr>
          <w:r>
            <w:rPr>
              <w:rFonts w:ascii="Arial" w:hAnsi="Arial"/>
              <w:b/>
              <w:color w:val="EF4444"/>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