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240 min</w:t>
            </w:r>
          </w:p>
        </w:tc>
      </w:tr>
    </w:tbl>
    <w:p>
      <w:pPr>
        <w:spacing w:after="280"/>
        <w:pBdr>
          <w:bottom w:val="single" w:sz="8" w:space="8" w:color="EF4444"/>
        </w:pBdr>
      </w:pPr>
    </w:p>
    <w:p>
      <w:pPr>
        <w:spacing w:after="240"/>
      </w:pPr>
      <w:r>
        <w:rPr>
          <w:rFonts w:ascii="Arial" w:hAnsi="Arial"/>
          <w:b/>
          <w:color w:val="1E1E1E"/>
          <w:sz w:val="30"/>
        </w:rPr>
        <w:t>Machine Guarding Annual Compliance Audit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documented procedure for performing an annual compliance audit of all machine guarding systems within the cabinet and millwork manufacturing facility. This audit is mandated under WorkSafeBC Regulation Part 12 (Tools, Machinery and Equipment) and is designed to verify that every guard meets regulatory requirements, is in good working order, and effectively prevents contact with hazardous moving parts. The primary risk mitigated by this procedure is the potential for severe amputation, crushing, or laceration injuries resulting from failed or missing guards.</w:t>
      </w:r>
    </w:p>
    <w:p>
      <w:pPr>
        <w:spacing w:after="120"/>
        <w:ind w:left="216"/>
      </w:pPr>
      <w:r>
        <w:rPr>
          <w:rFonts w:ascii="Arial" w:hAnsi="Arial"/>
          <w:color w:val="1E1E1E"/>
          <w:sz w:val="19"/>
        </w:rPr>
        <w:t>This audit serves as a proactive measure to identify deficiencies before they lead to incidents, ensuring continuous compliance and a culture of safety. All findings must be documented and tracked to closure.</w:t>
      </w:r>
    </w:p>
    <w:p>
      <w:r>
        <w:rPr>
          <w:rFonts w:ascii="Arial" w:hAnsi="Arial"/>
          <w:b/>
          <w:color w:val="EF4444"/>
          <w:sz w:val="22"/>
        </w:rPr>
        <w:t>2.0 Operational Scope</w:t>
      </w:r>
    </w:p>
    <w:p>
      <w:pPr>
        <w:spacing w:after="120"/>
        <w:ind w:left="216"/>
      </w:pPr>
      <w:r>
        <w:rPr>
          <w:rFonts w:ascii="Arial" w:hAnsi="Arial"/>
          <w:color w:val="1E1E1E"/>
          <w:sz w:val="19"/>
        </w:rPr>
        <w:t>This procedure applies to all fixed, interlocked, adjustable, and self-adjusting guards installed on production machinery within the facility, including but not limited to: table saws, panel saws, edgebanders, CNC routers, sanders, planers, jointers, shapers, moulders, and dust collection systems. The audit covers all departments: rough mill, machining, assembly, sanding, finishing, and maintenance.</w:t>
      </w:r>
    </w:p>
    <w:p>
      <w:pPr>
        <w:spacing w:after="120"/>
        <w:ind w:left="216"/>
      </w:pPr>
      <w:r>
        <w:rPr>
          <w:rFonts w:ascii="Arial" w:hAnsi="Arial"/>
          <w:color w:val="1E1E1E"/>
          <w:sz w:val="19"/>
        </w:rPr>
        <w:t>Personnel authorized to perform this audit include the Plant Safety Officer, the Maintenance Manager, and designated members of the Joint Health and Safety Committee (JHSC) who have completed specific training on machine guarding standards and audit procedures. External consultants may be engaged for third-party verification.</w:t>
      </w:r>
    </w:p>
    <w:p>
      <w:r>
        <w:rPr>
          <w:rFonts w:ascii="Arial" w:hAnsi="Arial"/>
          <w:b/>
          <w:color w:val="EF4444"/>
          <w:sz w:val="22"/>
        </w:rPr>
        <w:t>3.0 Hazard Identification &amp; Mandatory PPE</w:t>
      </w:r>
    </w:p>
    <w:p>
      <w:pPr>
        <w:spacing w:after="120"/>
        <w:ind w:left="360"/>
      </w:pPr>
      <w:r>
        <w:rPr>
          <w:rFonts w:ascii="Arial" w:hAnsi="Arial"/>
          <w:color w:val="1E1E1E"/>
          <w:sz w:val="19"/>
        </w:rPr>
        <w:t>▪  Crush and amputation hazards from unguarded or improperly guarded rotating shafts, belts, pulleys, chains, sprockets, gears, and in-running nip points.</w:t>
      </w:r>
    </w:p>
    <w:p>
      <w:pPr>
        <w:spacing w:after="120"/>
        <w:ind w:left="360"/>
      </w:pPr>
      <w:r>
        <w:rPr>
          <w:rFonts w:ascii="Arial" w:hAnsi="Arial"/>
          <w:color w:val="1E1E1E"/>
          <w:sz w:val="19"/>
        </w:rPr>
        <w:t>▪  Laceration and puncture hazards from exposed saw blades, cutterheads, and sharp edges on guards.</w:t>
      </w:r>
    </w:p>
    <w:p>
      <w:pPr>
        <w:spacing w:after="120"/>
        <w:ind w:left="360"/>
      </w:pPr>
      <w:r>
        <w:rPr>
          <w:rFonts w:ascii="Arial" w:hAnsi="Arial"/>
          <w:color w:val="1E1E1E"/>
          <w:sz w:val="19"/>
        </w:rPr>
        <w:t>▪  Entanglement hazards from projecting set screws, keys, or other rotating components.</w:t>
      </w:r>
    </w:p>
    <w:p>
      <w:pPr>
        <w:spacing w:after="120"/>
        <w:ind w:left="360"/>
      </w:pPr>
      <w:r>
        <w:rPr>
          <w:rFonts w:ascii="Arial" w:hAnsi="Arial"/>
          <w:color w:val="1E1E1E"/>
          <w:sz w:val="19"/>
        </w:rPr>
        <w:t>▪  Stored energy hazards (pneumatic, hydraulic, electrical, mechanical) that may cause unexpected movement during inspection.</w:t>
      </w:r>
    </w:p>
    <w:p>
      <w:pPr>
        <w:spacing w:after="120"/>
        <w:ind w:left="360"/>
      </w:pPr>
      <w:r>
        <w:rPr>
          <w:rFonts w:ascii="Arial" w:hAnsi="Arial"/>
          <w:color w:val="1E1E1E"/>
          <w:sz w:val="19"/>
        </w:rPr>
        <w:t>▪  Slip, trip, and fall hazards from debris, oil, or tools left in the audit area.</w:t>
      </w:r>
    </w:p>
    <w:p>
      <w:pPr>
        <w:spacing w:after="120"/>
        <w:ind w:left="360"/>
      </w:pPr>
      <w:r>
        <w:rPr>
          <w:rFonts w:ascii="Arial" w:hAnsi="Arial"/>
          <w:color w:val="1E1E1E"/>
          <w:sz w:val="19"/>
        </w:rPr>
        <w:t>▪  CSA-approved safety glasses with side shields (mandatory at all times in the production area).</w:t>
      </w:r>
    </w:p>
    <w:p>
      <w:pPr>
        <w:spacing w:after="120"/>
        <w:ind w:left="360"/>
      </w:pPr>
      <w:r>
        <w:rPr>
          <w:rFonts w:ascii="Arial" w:hAnsi="Arial"/>
          <w:color w:val="1E1E1E"/>
          <w:sz w:val="19"/>
        </w:rPr>
        <w:t>▪  CSA-approved steel-toed boots with slip-resistant soles.</w:t>
      </w:r>
    </w:p>
    <w:p>
      <w:pPr>
        <w:spacing w:after="120"/>
        <w:ind w:left="360"/>
      </w:pPr>
      <w:r>
        <w:rPr>
          <w:rFonts w:ascii="Arial" w:hAnsi="Arial"/>
          <w:color w:val="1E1E1E"/>
          <w:sz w:val="19"/>
        </w:rPr>
        <w:t>▪  Hearing protection (earplugs or earmuffs) when working near operating machinery or in areas exceeding 85 dBA.</w:t>
      </w:r>
    </w:p>
    <w:p>
      <w:pPr>
        <w:spacing w:after="120"/>
        <w:ind w:left="360"/>
      </w:pPr>
      <w:r>
        <w:rPr>
          <w:rFonts w:ascii="Arial" w:hAnsi="Arial"/>
          <w:color w:val="1E1E1E"/>
          <w:sz w:val="19"/>
        </w:rPr>
        <w:t>▪  Cut-resistant gloves (ANSI A4 or higher) when handling sharp guard components or inspecting blade areas.</w:t>
      </w:r>
    </w:p>
    <w:p>
      <w:pPr>
        <w:spacing w:after="120"/>
        <w:ind w:left="360"/>
      </w:pPr>
      <w:r>
        <w:rPr>
          <w:rFonts w:ascii="Arial" w:hAnsi="Arial"/>
          <w:color w:val="1E1E1E"/>
          <w:sz w:val="19"/>
        </w:rPr>
        <w:t>▪  High-visibility safety vest when working in areas with forklift or pedestrian traffic.</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hasp, and danger tag for each machine being inspected.</w:t>
              <w:br/>
            </w:r>
            <w:r>
              <w:rPr>
                <w:rFonts w:ascii="Arial" w:hAnsi="Arial"/>
                <w:color w:val="1E1E1E"/>
                <w:sz w:val="19"/>
              </w:rPr>
              <w:t>•  Machine Guarding Audit Checklist (pre-printed or digital on SafeDesk) covering all regulatory requirements.</w:t>
              <w:br/>
            </w:r>
            <w:r>
              <w:rPr>
                <w:rFonts w:ascii="Arial" w:hAnsi="Arial"/>
                <w:color w:val="1E1E1E"/>
                <w:sz w:val="19"/>
              </w:rPr>
              <w:t>•  Digital camera or smartphone for photographic evidence of guard condition and deficiencies.</w:t>
              <w:br/>
            </w:r>
            <w:r>
              <w:rPr>
                <w:rFonts w:ascii="Arial" w:hAnsi="Arial"/>
                <w:color w:val="1E1E1E"/>
                <w:sz w:val="19"/>
              </w:rPr>
              <w:t>•  Measuring tape (metric and imperial) to verify guard openings and distances from hazard zones.</w:t>
              <w:br/>
            </w:r>
            <w:r>
              <w:rPr>
                <w:rFonts w:ascii="Arial" w:hAnsi="Arial"/>
                <w:color w:val="1E1E1E"/>
                <w:sz w:val="19"/>
              </w:rPr>
              <w:t>•  Feeler gauges to check clearance between guards and moving parts.</w:t>
              <w:br/>
            </w:r>
            <w:r>
              <w:rPr>
                <w:rFonts w:ascii="Arial" w:hAnsi="Arial"/>
                <w:color w:val="1E1E1E"/>
                <w:sz w:val="19"/>
              </w:rPr>
              <w:t>•  Torque wrench (calibrated) to verify fastener tightness on guards.</w:t>
              <w:br/>
            </w:r>
            <w:r>
              <w:rPr>
                <w:rFonts w:ascii="Arial" w:hAnsi="Arial"/>
                <w:color w:val="1E1E1E"/>
                <w:sz w:val="19"/>
              </w:rPr>
              <w:t>•  Flashlight for inspecting hard-to-see areas and verifying interlock switch operation.</w:t>
              <w:br/>
            </w:r>
            <w:r>
              <w:rPr>
                <w:rFonts w:ascii="Arial" w:hAnsi="Arial"/>
                <w:color w:val="1E1E1E"/>
                <w:sz w:val="19"/>
              </w:rPr>
              <w:t>•  Non-contact voltage tester to confirm electrical isolation before opening guard panels.</w:t>
              <w:br/>
            </w:r>
            <w:r>
              <w:rPr>
                <w:rFonts w:ascii="Arial" w:hAnsi="Arial"/>
                <w:color w:val="1E1E1E"/>
                <w:sz w:val="19"/>
              </w:rPr>
              <w:t>•  Spill kit and absorbent pads for any hydraulic or oil leaks discovered during inspection.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previous year's audit report and any interim guard repair records to identify known issues or recurring deficiencies. Notify all shift supervisors and maintenance personnel of the audit schedule and ensure no production activities will be interrupted.</w:t>
              <w:br/>
            </w:r>
            <w:r>
              <w:rPr>
                <w:rFonts w:ascii="Arial" w:hAnsi="Arial"/>
                <w:color w:val="1E1E1E"/>
                <w:sz w:val="19"/>
              </w:rPr>
              <w:t>2.  For each machine on the audit list, perform a full energy isolation using the facility's LOTO procedure. Verify zero energy state by attempting to start the machine, then test for absence of voltage, pressure, or stored energy. Apply personal lock and tag.</w:t>
              <w:br/>
            </w:r>
            <w:r>
              <w:rPr>
                <w:rFonts w:ascii="Arial" w:hAnsi="Arial"/>
                <w:color w:val="1E1E1E"/>
                <w:sz w:val="19"/>
              </w:rPr>
              <w:t>3.  Visually inspect the guard for physical integrity: check for cracks, deformation, corrosion, missing fasteners, and signs of impact damage. Verify that the guard is securely attached and cannot be easily removed without tools. Document any damage with photographs.</w:t>
              <w:br/>
            </w:r>
            <w:r>
              <w:rPr>
                <w:rFonts w:ascii="Arial" w:hAnsi="Arial"/>
                <w:color w:val="1E1E1E"/>
                <w:sz w:val="19"/>
              </w:rPr>
              <w:t>4.  Measure guard openings using the measuring tape. Compare against the safe distance table in CSA Z432-16 (Safeguarding of Machinery) to ensure that openings prevent finger, hand, or arm access to the hazard zone. Record all measurements on the checklist.</w:t>
              <w:br/>
            </w:r>
            <w:r>
              <w:rPr>
                <w:rFonts w:ascii="Arial" w:hAnsi="Arial"/>
                <w:color w:val="1E1E1E"/>
                <w:sz w:val="19"/>
              </w:rPr>
              <w:t>5.  Test all interlock switches and safety devices (e.g., limit switches, safety relays, light curtains) by manually actuating them. Verify that the machine cannot start when the guard is open or removed. If the interlock fails, tag the machine as non-compliant and initiate a corrective work order.</w:t>
              <w:br/>
            </w:r>
            <w:r>
              <w:rPr>
                <w:rFonts w:ascii="Arial" w:hAnsi="Arial"/>
                <w:color w:val="1E1E1E"/>
                <w:sz w:val="19"/>
              </w:rPr>
              <w:t>6.  Inspect the area around the guard for any modifications, bypasses, or makeshift repairs (e.g., tape, wire, or zip ties holding a guard in place). Check that no tools, rags, or debris are interfering with guard function. Remove any unauthorized modifications immediately.</w:t>
              <w:br/>
            </w:r>
            <w:r>
              <w:rPr>
                <w:rFonts w:ascii="Arial" w:hAnsi="Arial"/>
                <w:color w:val="1E1E1E"/>
                <w:sz w:val="19"/>
              </w:rPr>
              <w:t>7.  Check for proper guard labeling: each guard must have a permanent label indicating the machine number, guard type, and installation date. Verify that warning decals are legible and not faded. Replace any missing or illegible labels.</w:t>
              <w:br/>
            </w:r>
            <w:r>
              <w:rPr>
                <w:rFonts w:ascii="Arial" w:hAnsi="Arial"/>
                <w:color w:val="1E1E1E"/>
                <w:sz w:val="19"/>
              </w:rPr>
              <w:t>8.  Remove LOTO and restore energy to the machine. With the guard in place, perform a slow-speed jog test (if safe and permitted by the machine design) to confirm that the guard does not contact moving parts and that there is no unusual vibration or noise. Observe the machine through one full cycle to ensure the guard remains secure.</w:t>
              <w:br/>
            </w:r>
            <w:r>
              <w:rPr>
                <w:rFonts w:ascii="Arial" w:hAnsi="Arial"/>
                <w:color w:val="1E1E1E"/>
                <w:sz w:val="19"/>
              </w:rPr>
              <w:t>9.  Document all findings on the audit checklist, including photographs of compliant and non-compliant conditions. For each deficiency, assign a severity rating (Critical, Major, Minor) and a corrective action with a target completion date. Enter all data into SafeDesk for real-time tracking.</w:t>
              <w:br/>
            </w:r>
            <w:r>
              <w:rPr>
                <w:rFonts w:ascii="Arial" w:hAnsi="Arial"/>
                <w:color w:val="1E1E1E"/>
                <w:sz w:val="19"/>
              </w:rPr>
              <w:t>10.  Review the completed audit with the Maintenance Manager and Plant Manager. Prioritize corrective actions for Critical and Major deficiencies, and schedule immediate repairs or guard replacements. Lock out any machine with a Critical deficiency until the guard is fully restored and re-inspected.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