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Cardboard Baler: Operation Tying and Ejection Preventative Maintenance &amp; Calibration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preventative maintenance and calibration on the cardboard baler's tying and ejection systems. This includes verifying wire tension, inspecting tying head components, checking ejection ram alignment, and clearing debris from the ejection chute. Proper maintenance ensures consistent bale integrity, prevents wire breakage, reduces ejection jams, and extends the service life of the baler.</w:t>
      </w:r>
    </w:p>
    <w:p>
      <w:pPr>
        <w:spacing w:after="120"/>
        <w:ind w:left="216"/>
      </w:pPr>
      <w:r>
        <w:rPr>
          <w:rFonts w:ascii="Arial" w:hAnsi="Arial"/>
          <w:color w:val="1E1E1E"/>
          <w:sz w:val="19"/>
        </w:rPr>
        <w:t>Frequency: Every 500 operating hours or monthly, whichever comes first. Perform more frequently if bale quality issues or ejection jams are observed.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disconnect switch and apply personal lock and tag. Verify zero voltage with a multimeter.</w:t>
              <w:br/>
            </w:r>
            <w:r>
              <w:rPr>
                <w:rFonts w:ascii="Arial" w:hAnsi="Arial"/>
                <w:color w:val="1E1E1E"/>
                <w:sz w:val="19"/>
              </w:rPr>
              <w:t>•  Hydraulic Isolation: Close the hydraulic supply valve and cycle the ejection ram to relieve residual pressure. Lock out the valve handle.</w:t>
              <w:br/>
            </w:r>
            <w:r>
              <w:rPr>
                <w:rFonts w:ascii="Arial" w:hAnsi="Arial"/>
                <w:color w:val="1E1E1E"/>
                <w:sz w:val="19"/>
              </w:rPr>
              <w:t>•  Pneumatic Isolation (if applicable): Close the air supply valve and bleed any residual air from the tying system lines.</w:t>
              <w:br/>
            </w:r>
            <w:r>
              <w:rPr>
                <w:rFonts w:ascii="Arial" w:hAnsi="Arial"/>
                <w:color w:val="1E1E1E"/>
                <w:sz w:val="19"/>
              </w:rPr>
              <w:t>•  Mechanical Lockout: Engage the ram safety lock or install a mechanical stop to prevent unintended ram movement.</w:t>
              <w:br/>
            </w:r>
            <w:r>
              <w:rPr>
                <w:rFonts w:ascii="Arial" w:hAnsi="Arial"/>
                <w:color w:val="1E1E1E"/>
                <w:sz w:val="19"/>
              </w:rPr>
              <w:t>•  Mandatory PPE: Safety glasses, steel-toed boots, cut-resistant gloves, and hearing protection.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Wire tension gauge (0-100 lbs range)</w:t>
      </w:r>
    </w:p>
    <w:p>
      <w:pPr>
        <w:spacing w:after="120"/>
        <w:ind w:left="360"/>
      </w:pPr>
      <w:r>
        <w:rPr>
          <w:rFonts w:ascii="Arial" w:hAnsi="Arial"/>
          <w:color w:val="1E1E1E"/>
          <w:sz w:val="19"/>
        </w:rPr>
        <w:t>▪  Torque wrench (0-150 ft-lbs) with 1/2-inch drive socket set</w:t>
      </w:r>
    </w:p>
    <w:p>
      <w:pPr>
        <w:spacing w:after="120"/>
        <w:ind w:left="360"/>
      </w:pPr>
      <w:r>
        <w:rPr>
          <w:rFonts w:ascii="Arial" w:hAnsi="Arial"/>
          <w:color w:val="1E1E1E"/>
          <w:sz w:val="19"/>
        </w:rPr>
        <w:t>▪  Feeler gauge set (0.001-0.030 inch)</w:t>
      </w:r>
    </w:p>
    <w:p>
      <w:pPr>
        <w:spacing w:after="120"/>
        <w:ind w:left="360"/>
      </w:pPr>
      <w:r>
        <w:rPr>
          <w:rFonts w:ascii="Arial" w:hAnsi="Arial"/>
          <w:color w:val="1E1E1E"/>
          <w:sz w:val="19"/>
        </w:rPr>
        <w:t>▪  Digital caliper (0-6 inch range)</w:t>
      </w:r>
    </w:p>
    <w:p>
      <w:pPr>
        <w:spacing w:after="120"/>
        <w:ind w:left="360"/>
      </w:pPr>
      <w:r>
        <w:rPr>
          <w:rFonts w:ascii="Arial" w:hAnsi="Arial"/>
          <w:color w:val="1E1E1E"/>
          <w:sz w:val="19"/>
        </w:rPr>
        <w:t>▪  Wire cutters and wire twister tool (if manual tying)</w:t>
      </w:r>
    </w:p>
    <w:p>
      <w:pPr>
        <w:spacing w:after="120"/>
        <w:ind w:left="360"/>
      </w:pPr>
      <w:r>
        <w:rPr>
          <w:rFonts w:ascii="Arial" w:hAnsi="Arial"/>
          <w:color w:val="1E1E1E"/>
          <w:sz w:val="19"/>
        </w:rPr>
        <w:t>▪  Replacement tying wire (specify gauge per OEM)</w:t>
      </w:r>
    </w:p>
    <w:p>
      <w:pPr>
        <w:spacing w:after="120"/>
        <w:ind w:left="360"/>
      </w:pPr>
      <w:r>
        <w:rPr>
          <w:rFonts w:ascii="Arial" w:hAnsi="Arial"/>
          <w:color w:val="1E1E1E"/>
          <w:sz w:val="19"/>
        </w:rPr>
        <w:t>▪  Hydraulic oil (ISO 46 or per OEM spec)</w:t>
      </w:r>
    </w:p>
    <w:p>
      <w:pPr>
        <w:spacing w:after="120"/>
        <w:ind w:left="360"/>
      </w:pPr>
      <w:r>
        <w:rPr>
          <w:rFonts w:ascii="Arial" w:hAnsi="Arial"/>
          <w:color w:val="1E1E1E"/>
          <w:sz w:val="19"/>
        </w:rPr>
        <w:t>▪  Lithium-based grease (NLGI #2)</w:t>
      </w:r>
    </w:p>
    <w:p>
      <w:pPr>
        <w:spacing w:after="120"/>
        <w:ind w:left="360"/>
      </w:pPr>
      <w:r>
        <w:rPr>
          <w:rFonts w:ascii="Arial" w:hAnsi="Arial"/>
          <w:color w:val="1E1E1E"/>
          <w:sz w:val="19"/>
        </w:rPr>
        <w:t>▪  Clean rags, wire brush, and parts cleaner</w:t>
      </w:r>
    </w:p>
    <w:p>
      <w:pPr>
        <w:spacing w:after="120"/>
        <w:ind w:left="360"/>
      </w:pPr>
      <w:r>
        <w:rPr>
          <w:rFonts w:ascii="Arial" w:hAnsi="Arial"/>
          <w:color w:val="1E1E1E"/>
          <w:sz w:val="19"/>
        </w:rPr>
        <w:t>▪  Multimeter (for voltage verification)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Confirm zero energy state before proceeding.</w:t>
      </w:r>
    </w:p>
    <w:p>
      <w:pPr>
        <w:spacing w:after="120"/>
        <w:ind w:left="288"/>
      </w:pPr>
      <w:r>
        <w:rPr>
          <w:rFonts w:ascii="Arial" w:hAnsi="Arial"/>
          <w:b/>
          <w:color w:val="7C8DB0"/>
        </w:rPr>
        <w:t xml:space="preserve">2.  </w:t>
      </w:r>
      <w:r>
        <w:rPr>
          <w:rFonts w:ascii="Arial" w:hAnsi="Arial"/>
          <w:color w:val="1E1E1E"/>
          <w:sz w:val="19"/>
        </w:rPr>
        <w:t>Open the tying head access cover. Inspect the tying head for worn or broken components: check the wire guide, cutter blade, and tensioner for cracks or deformation. Replace any damaged parts.</w:t>
      </w:r>
    </w:p>
    <w:p>
      <w:pPr>
        <w:spacing w:after="120"/>
        <w:ind w:left="288"/>
      </w:pPr>
      <w:r>
        <w:rPr>
          <w:rFonts w:ascii="Arial" w:hAnsi="Arial"/>
          <w:b/>
          <w:color w:val="7C8DB0"/>
        </w:rPr>
        <w:t xml:space="preserve">3.  </w:t>
      </w:r>
      <w:r>
        <w:rPr>
          <w:rFonts w:ascii="Arial" w:hAnsi="Arial"/>
          <w:color w:val="1E1E1E"/>
          <w:sz w:val="19"/>
        </w:rPr>
        <w:t>Clean the tying head assembly using a wire brush and parts cleaner. Remove all cardboard dust, wire fragments, and debris from the wire path and moving parts.</w:t>
      </w:r>
    </w:p>
    <w:p>
      <w:pPr>
        <w:spacing w:after="120"/>
        <w:ind w:left="288"/>
      </w:pPr>
      <w:r>
        <w:rPr>
          <w:rFonts w:ascii="Arial" w:hAnsi="Arial"/>
          <w:b/>
          <w:color w:val="7C8DB0"/>
        </w:rPr>
        <w:t xml:space="preserve">4.  </w:t>
      </w:r>
      <w:r>
        <w:rPr>
          <w:rFonts w:ascii="Arial" w:hAnsi="Arial"/>
          <w:color w:val="1E1E1E"/>
          <w:sz w:val="19"/>
        </w:rPr>
        <w:t>Lubricate the tying head pivot points, cam followers, and sliding surfaces with lithium-based grease. Apply sparingly to avoid attracting debris.</w:t>
      </w:r>
    </w:p>
    <w:p>
      <w:pPr>
        <w:spacing w:after="120"/>
        <w:ind w:left="288"/>
      </w:pPr>
      <w:r>
        <w:rPr>
          <w:rFonts w:ascii="Arial" w:hAnsi="Arial"/>
          <w:b/>
          <w:color w:val="7C8DB0"/>
        </w:rPr>
        <w:t xml:space="preserve">5.  </w:t>
      </w:r>
      <w:r>
        <w:rPr>
          <w:rFonts w:ascii="Arial" w:hAnsi="Arial"/>
          <w:color w:val="1E1E1E"/>
          <w:sz w:val="19"/>
        </w:rPr>
        <w:t>Check wire tension using the tension gauge. Insert the gauge between the wire and the tensioner roller. Adjust the tensioner spring nut until the gauge reads within OEM spec (typically 40-60 lbs). Recheck after adjustment.</w:t>
      </w:r>
    </w:p>
    <w:p>
      <w:pPr>
        <w:spacing w:after="120"/>
        <w:ind w:left="288"/>
      </w:pPr>
      <w:r>
        <w:rPr>
          <w:rFonts w:ascii="Arial" w:hAnsi="Arial"/>
          <w:b/>
          <w:color w:val="7C8DB0"/>
        </w:rPr>
        <w:t xml:space="preserve">6.  </w:t>
      </w:r>
      <w:r>
        <w:rPr>
          <w:rFonts w:ascii="Arial" w:hAnsi="Arial"/>
          <w:color w:val="1E1E1E"/>
          <w:sz w:val="19"/>
        </w:rPr>
        <w:t>Inspect the wire feed path from the spool to the tying head. Ensure the wire runs freely without kinks or sharp bends. Replace the spool if the wire is rusted or damaged.</w:t>
      </w:r>
    </w:p>
    <w:p>
      <w:pPr>
        <w:spacing w:after="120"/>
        <w:ind w:left="288"/>
      </w:pPr>
      <w:r>
        <w:rPr>
          <w:rFonts w:ascii="Arial" w:hAnsi="Arial"/>
          <w:b/>
          <w:color w:val="7C8DB0"/>
        </w:rPr>
        <w:t xml:space="preserve">7.  </w:t>
      </w:r>
      <w:r>
        <w:rPr>
          <w:rFonts w:ascii="Arial" w:hAnsi="Arial"/>
          <w:color w:val="1E1E1E"/>
          <w:sz w:val="19"/>
        </w:rPr>
        <w:t>Manually cycle the tying mechanism by rotating the cam shaft (if accessible) or using the manual override. Verify that the wire cutter engages cleanly and the knotter forms a tight knot. Adjust the knotter timing per OEM manual if the knot is loose.</w:t>
      </w:r>
    </w:p>
    <w:p>
      <w:pPr>
        <w:spacing w:after="120"/>
        <w:ind w:left="288"/>
      </w:pPr>
      <w:r>
        <w:rPr>
          <w:rFonts w:ascii="Arial" w:hAnsi="Arial"/>
          <w:b/>
          <w:color w:val="7C8DB0"/>
        </w:rPr>
        <w:t xml:space="preserve">8.  </w:t>
      </w:r>
      <w:r>
        <w:rPr>
          <w:rFonts w:ascii="Arial" w:hAnsi="Arial"/>
          <w:color w:val="1E1E1E"/>
          <w:sz w:val="19"/>
        </w:rPr>
        <w:t>Move to the ejection system. Inspect the ejection ram for scoring, wear, or misalignment. Use a feeler gauge to check the clearance between the ram and the chamber walls. Acceptable clearance is 0.010-0.030 inch. If out of spec, adjust the ram guides.</w:t>
      </w:r>
    </w:p>
    <w:p>
      <w:pPr>
        <w:spacing w:after="120"/>
        <w:ind w:left="288"/>
      </w:pPr>
      <w:r>
        <w:rPr>
          <w:rFonts w:ascii="Arial" w:hAnsi="Arial"/>
          <w:b/>
          <w:color w:val="7C8DB0"/>
        </w:rPr>
        <w:t xml:space="preserve">9.  </w:t>
      </w:r>
      <w:r>
        <w:rPr>
          <w:rFonts w:ascii="Arial" w:hAnsi="Arial"/>
          <w:color w:val="1E1E1E"/>
          <w:sz w:val="19"/>
        </w:rPr>
        <w:t>Check the ejection chute for obstructions, cardboard buildup, or damaged wear strips. Remove any debris and replace worn wear strips.</w:t>
      </w:r>
    </w:p>
    <w:p>
      <w:pPr>
        <w:spacing w:after="120"/>
        <w:ind w:left="288"/>
      </w:pPr>
      <w:r>
        <w:rPr>
          <w:rFonts w:ascii="Arial" w:hAnsi="Arial"/>
          <w:b/>
          <w:color w:val="7C8DB0"/>
        </w:rPr>
        <w:t xml:space="preserve">10.  </w:t>
      </w:r>
      <w:r>
        <w:rPr>
          <w:rFonts w:ascii="Arial" w:hAnsi="Arial"/>
          <w:color w:val="1E1E1E"/>
          <w:sz w:val="19"/>
        </w:rPr>
        <w:t>Lubricate the ejection ram guide rails and pivot pins with lithium-based grease. Wipe off excess.</w:t>
      </w:r>
    </w:p>
    <w:p>
      <w:pPr>
        <w:spacing w:after="120"/>
        <w:ind w:left="288"/>
      </w:pPr>
      <w:r>
        <w:rPr>
          <w:rFonts w:ascii="Arial" w:hAnsi="Arial"/>
          <w:b/>
          <w:color w:val="7C8DB0"/>
        </w:rPr>
        <w:t xml:space="preserve">11.  </w:t>
      </w:r>
      <w:r>
        <w:rPr>
          <w:rFonts w:ascii="Arial" w:hAnsi="Arial"/>
          <w:color w:val="1E1E1E"/>
          <w:sz w:val="19"/>
        </w:rPr>
        <w:t>Check hydraulic fluid level in the reservoir. Top off with ISO 46 hydraulic oil if low. Inspect hydraulic hoses for leaks, cracks, or abrasion. Replace any damaged hoses.</w:t>
      </w:r>
    </w:p>
    <w:p>
      <w:pPr>
        <w:spacing w:after="120"/>
        <w:ind w:left="288"/>
      </w:pPr>
      <w:r>
        <w:rPr>
          <w:rFonts w:ascii="Arial" w:hAnsi="Arial"/>
          <w:b/>
          <w:color w:val="7C8DB0"/>
        </w:rPr>
        <w:t xml:space="preserve">12.  </w:t>
      </w:r>
      <w:r>
        <w:rPr>
          <w:rFonts w:ascii="Arial" w:hAnsi="Arial"/>
          <w:color w:val="1E1E1E"/>
          <w:sz w:val="19"/>
        </w:rPr>
        <w:t>Torque all accessible fasteners on the tying head mounting bracket and ejection ram mounting bolts to OEM spec (typically 80-100 ft-lbs). Use a torque wrench.</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power to the baler.</w:t>
      </w:r>
    </w:p>
    <w:p>
      <w:pPr>
        <w:spacing w:after="120"/>
        <w:ind w:left="288"/>
      </w:pPr>
      <w:r>
        <w:rPr>
          <w:rFonts w:ascii="Arial" w:hAnsi="Arial"/>
          <w:b/>
          <w:color w:val="7C8DB0"/>
        </w:rPr>
        <w:t xml:space="preserve">2.  </w:t>
      </w:r>
      <w:r>
        <w:rPr>
          <w:rFonts w:ascii="Arial" w:hAnsi="Arial"/>
          <w:color w:val="1E1E1E"/>
          <w:sz w:val="19"/>
        </w:rPr>
        <w:t>Perform a dry cycle (no cardboard) to verify tying head operation. Run the tying sequence 3 times. Confirm that the wire feeds, cuts, and ties correctly without jams.</w:t>
      </w:r>
    </w:p>
    <w:p>
      <w:pPr>
        <w:spacing w:after="120"/>
        <w:ind w:left="288"/>
      </w:pPr>
      <w:r>
        <w:rPr>
          <w:rFonts w:ascii="Arial" w:hAnsi="Arial"/>
          <w:b/>
          <w:color w:val="7C8DB0"/>
        </w:rPr>
        <w:t xml:space="preserve">3.  </w:t>
      </w:r>
      <w:r>
        <w:rPr>
          <w:rFonts w:ascii="Arial" w:hAnsi="Arial"/>
          <w:color w:val="1E1E1E"/>
          <w:sz w:val="19"/>
        </w:rPr>
        <w:t>Load a small amount of cardboard and run a full baling cycle. Observe the tying process. Verify that the wire tension is consistent and the knot holds.</w:t>
      </w:r>
    </w:p>
    <w:p>
      <w:pPr>
        <w:spacing w:after="120"/>
        <w:ind w:left="288"/>
      </w:pPr>
      <w:r>
        <w:rPr>
          <w:rFonts w:ascii="Arial" w:hAnsi="Arial"/>
          <w:b/>
          <w:color w:val="7C8DB0"/>
        </w:rPr>
        <w:t xml:space="preserve">4.  </w:t>
      </w:r>
      <w:r>
        <w:rPr>
          <w:rFonts w:ascii="Arial" w:hAnsi="Arial"/>
          <w:color w:val="1E1E1E"/>
          <w:sz w:val="19"/>
        </w:rPr>
        <w:t>Initiate the ejection cycle. Confirm that the ram extends and retracts smoothly and the bale ejects fully without binding.</w:t>
      </w:r>
    </w:p>
    <w:p>
      <w:pPr>
        <w:spacing w:after="120"/>
        <w:ind w:left="288"/>
      </w:pPr>
      <w:r>
        <w:rPr>
          <w:rFonts w:ascii="Arial" w:hAnsi="Arial"/>
          <w:b/>
          <w:color w:val="7C8DB0"/>
        </w:rPr>
        <w:t xml:space="preserve">5.  </w:t>
      </w:r>
      <w:r>
        <w:rPr>
          <w:rFonts w:ascii="Arial" w:hAnsi="Arial"/>
          <w:color w:val="1E1E1E"/>
          <w:sz w:val="19"/>
        </w:rPr>
        <w:t>Inspect the ejected bale for proper shape and wire placement. The bale should be compact and the wires should be tight and centered.</w:t>
      </w:r>
    </w:p>
    <w:p>
      <w:pPr>
        <w:spacing w:after="120"/>
        <w:ind w:left="288"/>
      </w:pPr>
      <w:r>
        <w:rPr>
          <w:rFonts w:ascii="Arial" w:hAnsi="Arial"/>
          <w:b/>
          <w:color w:val="7C8DB0"/>
        </w:rPr>
        <w:t xml:space="preserve">6.  </w:t>
      </w:r>
      <w:r>
        <w:rPr>
          <w:rFonts w:ascii="Arial" w:hAnsi="Arial"/>
          <w:color w:val="1E1E1E"/>
          <w:sz w:val="19"/>
        </w:rPr>
        <w:t>If any issues are observed (e.g., wire breakage, loose knots, ejection hesitation), repeat the relevant steps in Section 4.0 before returning to production.</w:t>
      </w:r>
    </w:p>
    <w:p>
      <w:pPr>
        <w:spacing w:after="120"/>
        <w:ind w:left="288"/>
      </w:pPr>
      <w:r>
        <w:rPr>
          <w:rFonts w:ascii="Arial" w:hAnsi="Arial"/>
          <w:b/>
          <w:color w:val="7C8DB0"/>
        </w:rPr>
        <w:t xml:space="preserve">7.  </w:t>
      </w:r>
      <w:r>
        <w:rPr>
          <w:rFonts w:ascii="Arial" w:hAnsi="Arial"/>
          <w:color w:val="1E1E1E"/>
          <w:sz w:val="19"/>
        </w:rPr>
        <w:t>Sign off on the PM work order in ServiceGrid, noting any parts replaced or adjustments made.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