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60 min</w:t>
            </w:r>
          </w:p>
        </w:tc>
      </w:tr>
    </w:tbl>
    <w:p>
      <w:pPr>
        <w:spacing w:after="280"/>
        <w:pBdr>
          <w:bottom w:val="single" w:sz="8" w:space="8" w:color="7C8DB0"/>
        </w:pBdr>
      </w:pPr>
    </w:p>
    <w:p>
      <w:pPr>
        <w:spacing w:after="240"/>
      </w:pPr>
      <w:r>
        <w:rPr>
          <w:rFonts w:ascii="Arial" w:hAnsi="Arial"/>
          <w:b/>
          <w:color w:val="1E1E1E"/>
          <w:sz w:val="30"/>
        </w:rPr>
        <w:t>Dust Collector Dropout Box Wear Plate Inspection &amp; Replacement</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inspect the wear plates inside the dust collector dropout box for excessive erosion, pitting, or perforation caused by abrasive particulate impact. Worn wear plates compromise structural integrity and reduce collection efficiency. This PM ensures the dropout box remains serviceable and prevents unplanned downtime due to wall failure.</w:t>
      </w:r>
    </w:p>
    <w:p>
      <w:pPr>
        <w:spacing w:after="120"/>
        <w:ind w:left="216"/>
      </w:pPr>
      <w:r>
        <w:rPr>
          <w:rFonts w:ascii="Arial" w:hAnsi="Arial"/>
          <w:color w:val="1E1E1E"/>
          <w:sz w:val="19"/>
        </w:rPr>
        <w:t>Frequency: Every 500 operating hours or quarterly, whichever comes first. Increase frequency to 250 hours if handling highly abrasive materials (e.g., sand, metal shavings, glass dust).</w:t>
      </w:r>
    </w:p>
    <w:p>
      <w:pPr>
        <w:spacing w:after="120"/>
        <w:ind w:left="216"/>
      </w:pPr>
      <w:r>
        <w:rPr>
          <w:rFonts w:ascii="Arial" w:hAnsi="Arial"/>
          <w:color w:val="1E1E1E"/>
          <w:sz w:val="19"/>
        </w:rPr>
        <w:t>Note: This procedure applies to all cyclone-style and baghouse dust collectors with a dropout box or settling chamber equipped with replaceable wear plates.</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and lock out the main disconnect switch for the dust collector fan motor. Verify zero energy with a voltmeter.</w:t>
              <w:br/>
            </w:r>
            <w:r>
              <w:rPr>
                <w:rFonts w:ascii="Arial" w:hAnsi="Arial"/>
                <w:color w:val="1E1E1E"/>
                <w:sz w:val="19"/>
              </w:rPr>
              <w:t>•  Mechanical Isolation: Ensure the fan impeller has come to a complete stop. Lock out any motorized damper or rotary airlock valve.</w:t>
              <w:br/>
            </w:r>
            <w:r>
              <w:rPr>
                <w:rFonts w:ascii="Arial" w:hAnsi="Arial"/>
                <w:color w:val="1E1E1E"/>
                <w:sz w:val="19"/>
              </w:rPr>
              <w:t>•  Pneumatic Isolation: If the system uses compressed air for cleaning (pulse-jet baghouse), isolate and bleed the compressed air supply at the manifold.</w:t>
              <w:br/>
            </w:r>
            <w:r>
              <w:rPr>
                <w:rFonts w:ascii="Arial" w:hAnsi="Arial"/>
                <w:color w:val="1E1E1E"/>
                <w:sz w:val="19"/>
              </w:rPr>
              <w:t>•  Confined Space: The dropout box may be a confined space. Perform atmospheric testing (O2, LEL, CO, H2S) before entry. Use a confined space permit if required by local regulations.</w:t>
              <w:br/>
            </w:r>
            <w:r>
              <w:rPr>
                <w:rFonts w:ascii="Arial" w:hAnsi="Arial"/>
                <w:color w:val="1E1E1E"/>
                <w:sz w:val="19"/>
              </w:rPr>
              <w:t>•  PPE: Safety glasses, hard hat, steel-toed boots, cut-resistant gloves, hearing protection, and a full-face respirator if dust is present. Wear a Tyvek suit if the dust is hazardous.</w:t>
              <w:br/>
            </w:r>
            <w:r>
              <w:rPr>
                <w:rFonts w:ascii="Arial" w:hAnsi="Arial"/>
                <w:color w:val="1E1E1E"/>
                <w:sz w:val="19"/>
              </w:rPr>
              <w:t>•  Hot Work: If welding or grinding is required, obtain a hot work permit and have a fire watch with a fire extinguisher rated for metal fires (Class D).</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Replacement wear plates (OEM or fabricated from AR400 or AR500 steel, matching thickness and hole pattern)</w:t>
      </w:r>
    </w:p>
    <w:p>
      <w:pPr>
        <w:spacing w:after="120"/>
        <w:ind w:left="360"/>
      </w:pPr>
      <w:r>
        <w:rPr>
          <w:rFonts w:ascii="Arial" w:hAnsi="Arial"/>
          <w:color w:val="1E1E1E"/>
          <w:sz w:val="19"/>
        </w:rPr>
        <w:t>▪  1/2-inch drive torque wrench (range 30-150 ft-lb)</w:t>
      </w:r>
    </w:p>
    <w:p>
      <w:pPr>
        <w:spacing w:after="120"/>
        <w:ind w:left="360"/>
      </w:pPr>
      <w:r>
        <w:rPr>
          <w:rFonts w:ascii="Arial" w:hAnsi="Arial"/>
          <w:color w:val="1E1E1E"/>
          <w:sz w:val="19"/>
        </w:rPr>
        <w:t>▪  13mm, 16mm, and 19mm sockets and combination wrenches</w:t>
      </w:r>
    </w:p>
    <w:p>
      <w:pPr>
        <w:spacing w:after="120"/>
        <w:ind w:left="360"/>
      </w:pPr>
      <w:r>
        <w:rPr>
          <w:rFonts w:ascii="Arial" w:hAnsi="Arial"/>
          <w:color w:val="1E1E1E"/>
          <w:sz w:val="19"/>
        </w:rPr>
        <w:t>▪  Wire brush (stainless steel bristles)</w:t>
      </w:r>
    </w:p>
    <w:p>
      <w:pPr>
        <w:spacing w:after="120"/>
        <w:ind w:left="360"/>
      </w:pPr>
      <w:r>
        <w:rPr>
          <w:rFonts w:ascii="Arial" w:hAnsi="Arial"/>
          <w:color w:val="1E1E1E"/>
          <w:sz w:val="19"/>
        </w:rPr>
        <w:t>▪  Flashlight or inspection light (LED, explosion-proof if required)</w:t>
      </w:r>
    </w:p>
    <w:p>
      <w:pPr>
        <w:spacing w:after="120"/>
        <w:ind w:left="360"/>
      </w:pPr>
      <w:r>
        <w:rPr>
          <w:rFonts w:ascii="Arial" w:hAnsi="Arial"/>
          <w:color w:val="1E1E1E"/>
          <w:sz w:val="19"/>
        </w:rPr>
        <w:t>▪  Feeler gauge set (0.001-0.060 inch)</w:t>
      </w:r>
    </w:p>
    <w:p>
      <w:pPr>
        <w:spacing w:after="120"/>
        <w:ind w:left="360"/>
      </w:pPr>
      <w:r>
        <w:rPr>
          <w:rFonts w:ascii="Arial" w:hAnsi="Arial"/>
          <w:color w:val="1E1E1E"/>
          <w:sz w:val="19"/>
        </w:rPr>
        <w:t>▪  Dial caliper or ultrasonic thickness gauge (for measuring plate thickness)</w:t>
      </w:r>
    </w:p>
    <w:p>
      <w:pPr>
        <w:spacing w:after="120"/>
        <w:ind w:left="360"/>
      </w:pPr>
      <w:r>
        <w:rPr>
          <w:rFonts w:ascii="Arial" w:hAnsi="Arial"/>
          <w:color w:val="1E1E1E"/>
          <w:sz w:val="19"/>
        </w:rPr>
        <w:t>▪  Anti-seize compound (nickel-based, high-temperature)</w:t>
      </w:r>
    </w:p>
    <w:p>
      <w:pPr>
        <w:spacing w:after="120"/>
        <w:ind w:left="360"/>
      </w:pPr>
      <w:r>
        <w:rPr>
          <w:rFonts w:ascii="Arial" w:hAnsi="Arial"/>
          <w:color w:val="1E1E1E"/>
          <w:sz w:val="19"/>
        </w:rPr>
        <w:t>▪  Thread locker (medium strength, Loctite 242 or equivalent)</w:t>
      </w:r>
    </w:p>
    <w:p>
      <w:pPr>
        <w:spacing w:after="120"/>
        <w:ind w:left="360"/>
      </w:pPr>
      <w:r>
        <w:rPr>
          <w:rFonts w:ascii="Arial" w:hAnsi="Arial"/>
          <w:color w:val="1E1E1E"/>
          <w:sz w:val="19"/>
        </w:rPr>
        <w:t>▪  Vacuum cleaner (HEPA-rated if dust is hazardous)</w:t>
      </w:r>
    </w:p>
    <w:p>
      <w:pPr>
        <w:spacing w:after="120"/>
        <w:ind w:left="360"/>
      </w:pPr>
      <w:r>
        <w:rPr>
          <w:rFonts w:ascii="Arial" w:hAnsi="Arial"/>
          <w:color w:val="1E1E1E"/>
          <w:sz w:val="19"/>
        </w:rPr>
        <w:t>▪  Gasket material (if dropout box access door has a gasket)</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Verify zero energy state and tag out all isolation points.</w:t>
      </w:r>
    </w:p>
    <w:p>
      <w:pPr>
        <w:spacing w:after="120"/>
        <w:ind w:left="288"/>
      </w:pPr>
      <w:r>
        <w:rPr>
          <w:rFonts w:ascii="Arial" w:hAnsi="Arial"/>
          <w:b/>
          <w:color w:val="7C8DB0"/>
        </w:rPr>
        <w:t xml:space="preserve">2.  </w:t>
      </w:r>
      <w:r>
        <w:rPr>
          <w:rFonts w:ascii="Arial" w:hAnsi="Arial"/>
          <w:color w:val="1E1E1E"/>
          <w:sz w:val="19"/>
        </w:rPr>
        <w:t>Open the dropout box access door. Use a vacuum to remove accumulated dust from the interior, paying special attention to the wear plate surfaces and the bottom of the box.</w:t>
      </w:r>
    </w:p>
    <w:p>
      <w:pPr>
        <w:spacing w:after="120"/>
        <w:ind w:left="288"/>
      </w:pPr>
      <w:r>
        <w:rPr>
          <w:rFonts w:ascii="Arial" w:hAnsi="Arial"/>
          <w:b/>
          <w:color w:val="7C8DB0"/>
        </w:rPr>
        <w:t xml:space="preserve">3.  </w:t>
      </w:r>
      <w:r>
        <w:rPr>
          <w:rFonts w:ascii="Arial" w:hAnsi="Arial"/>
          <w:color w:val="1E1E1E"/>
          <w:sz w:val="19"/>
        </w:rPr>
        <w:t>Visually inspect each wear plate for signs of wear: grooves, pitting, thinning, cracking, or perforation. Use the flashlight to look for light shining through the plate (indicates a hole).</w:t>
      </w:r>
    </w:p>
    <w:p>
      <w:pPr>
        <w:spacing w:after="120"/>
        <w:ind w:left="288"/>
      </w:pPr>
      <w:r>
        <w:rPr>
          <w:rFonts w:ascii="Arial" w:hAnsi="Arial"/>
          <w:b/>
          <w:color w:val="7C8DB0"/>
        </w:rPr>
        <w:t xml:space="preserve">4.  </w:t>
      </w:r>
      <w:r>
        <w:rPr>
          <w:rFonts w:ascii="Arial" w:hAnsi="Arial"/>
          <w:color w:val="1E1E1E"/>
          <w:sz w:val="19"/>
        </w:rPr>
        <w:t>Measure the thickness of each wear plate using a dial caliper or ultrasonic thickness gauge. Record the measurements. Replace any plate that has worn to less than 50% of its original thickness (e.g., if original is 1/4 inch, replace at 1/8 inch).</w:t>
      </w:r>
    </w:p>
    <w:p>
      <w:pPr>
        <w:spacing w:after="120"/>
        <w:ind w:left="288"/>
      </w:pPr>
      <w:r>
        <w:rPr>
          <w:rFonts w:ascii="Arial" w:hAnsi="Arial"/>
          <w:b/>
          <w:color w:val="7C8DB0"/>
        </w:rPr>
        <w:t xml:space="preserve">5.  </w:t>
      </w:r>
      <w:r>
        <w:rPr>
          <w:rFonts w:ascii="Arial" w:hAnsi="Arial"/>
          <w:color w:val="1E1E1E"/>
          <w:sz w:val="19"/>
        </w:rPr>
        <w:t>Check the gap between the wear plate and the dropout box wall using a feeler gauge. The gap should not exceed 1/16 inch. If the gap is larger, the mounting bolts may be loose or the wall may be deformed.</w:t>
      </w:r>
    </w:p>
    <w:p>
      <w:pPr>
        <w:spacing w:after="120"/>
        <w:ind w:left="288"/>
      </w:pPr>
      <w:r>
        <w:rPr>
          <w:rFonts w:ascii="Arial" w:hAnsi="Arial"/>
          <w:b/>
          <w:color w:val="7C8DB0"/>
        </w:rPr>
        <w:t xml:space="preserve">6.  </w:t>
      </w:r>
      <w:r>
        <w:rPr>
          <w:rFonts w:ascii="Arial" w:hAnsi="Arial"/>
          <w:color w:val="1E1E1E"/>
          <w:sz w:val="19"/>
        </w:rPr>
        <w:t>If replacement is required, remove the bolts securing the worn wear plate. Use a wire brush to clean the mounting surface and bolt holes. Apply anti-seize to the new bolts.</w:t>
      </w:r>
    </w:p>
    <w:p>
      <w:pPr>
        <w:spacing w:after="120"/>
        <w:ind w:left="288"/>
      </w:pPr>
      <w:r>
        <w:rPr>
          <w:rFonts w:ascii="Arial" w:hAnsi="Arial"/>
          <w:b/>
          <w:color w:val="7C8DB0"/>
        </w:rPr>
        <w:t xml:space="preserve">7.  </w:t>
      </w:r>
      <w:r>
        <w:rPr>
          <w:rFonts w:ascii="Arial" w:hAnsi="Arial"/>
          <w:color w:val="1E1E1E"/>
          <w:sz w:val="19"/>
        </w:rPr>
        <w:t>Install the new wear plate. Torque the bolts to the OEM specification (typically 45-60 ft-lb for 1/2-inch bolts). Apply a drop of thread locker to each bolt before final torque.</w:t>
      </w:r>
    </w:p>
    <w:p>
      <w:pPr>
        <w:spacing w:after="120"/>
        <w:ind w:left="288"/>
      </w:pPr>
      <w:r>
        <w:rPr>
          <w:rFonts w:ascii="Arial" w:hAnsi="Arial"/>
          <w:b/>
          <w:color w:val="7C8DB0"/>
        </w:rPr>
        <w:t xml:space="preserve">8.  </w:t>
      </w:r>
      <w:r>
        <w:rPr>
          <w:rFonts w:ascii="Arial" w:hAnsi="Arial"/>
          <w:color w:val="1E1E1E"/>
          <w:sz w:val="19"/>
        </w:rPr>
        <w:t>Inspect the access door gasket. Replace if cracked, compressed, or missing. Clean the sealing surface.</w:t>
      </w:r>
    </w:p>
    <w:p>
      <w:pPr>
        <w:spacing w:after="120"/>
        <w:ind w:left="288"/>
      </w:pPr>
      <w:r>
        <w:rPr>
          <w:rFonts w:ascii="Arial" w:hAnsi="Arial"/>
          <w:b/>
          <w:color w:val="7C8DB0"/>
        </w:rPr>
        <w:t xml:space="preserve">9.  </w:t>
      </w:r>
      <w:r>
        <w:rPr>
          <w:rFonts w:ascii="Arial" w:hAnsi="Arial"/>
          <w:color w:val="1E1E1E"/>
          <w:sz w:val="19"/>
        </w:rPr>
        <w:t>Close and secure the access door. Torque the door bolts to the OEM specification (typically 30-40 ft-lb).</w:t>
      </w:r>
    </w:p>
    <w:p>
      <w:pPr>
        <w:spacing w:after="120"/>
        <w:ind w:left="288"/>
      </w:pPr>
      <w:r>
        <w:rPr>
          <w:rFonts w:ascii="Arial" w:hAnsi="Arial"/>
          <w:b/>
          <w:color w:val="7C8DB0"/>
        </w:rPr>
        <w:t xml:space="preserve">10.  </w:t>
      </w:r>
      <w:r>
        <w:rPr>
          <w:rFonts w:ascii="Arial" w:hAnsi="Arial"/>
          <w:color w:val="1E1E1E"/>
          <w:sz w:val="19"/>
        </w:rPr>
        <w:t>Remove LOTO tags and locks. Restore power to the dust collector fan motor and compressed air supply (if applicable).</w:t>
      </w:r>
    </w:p>
    <w:p>
      <w:pPr>
        <w:spacing w:after="120"/>
        <w:ind w:left="288"/>
      </w:pPr>
      <w:r>
        <w:rPr>
          <w:rFonts w:ascii="Arial" w:hAnsi="Arial"/>
          <w:b/>
          <w:color w:val="7C8DB0"/>
        </w:rPr>
        <w:t xml:space="preserve">11.  </w:t>
      </w:r>
      <w:r>
        <w:rPr>
          <w:rFonts w:ascii="Arial" w:hAnsi="Arial"/>
          <w:color w:val="1E1E1E"/>
          <w:sz w:val="19"/>
        </w:rPr>
        <w:t>Start the dust collector and allow it to run for 5 minutes. Listen for unusual noises (rattling, scraping) that could indicate a loose plate or obstruction.</w:t>
      </w:r>
    </w:p>
    <w:p>
      <w:pPr>
        <w:spacing w:after="120"/>
        <w:ind w:left="288"/>
      </w:pPr>
      <w:r>
        <w:rPr>
          <w:rFonts w:ascii="Arial" w:hAnsi="Arial"/>
          <w:b/>
          <w:color w:val="7C8DB0"/>
        </w:rPr>
        <w:t xml:space="preserve">12.  </w:t>
      </w:r>
      <w:r>
        <w:rPr>
          <w:rFonts w:ascii="Arial" w:hAnsi="Arial"/>
          <w:color w:val="1E1E1E"/>
          <w:sz w:val="19"/>
        </w:rPr>
        <w:t>Check for air leaks around the access door and any bolted connections. Use a smoke pencil or soapy water solution. Tighten or reseal as necessary.</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Verify that the dust collector is operating at normal static pressure (check manometer or magnehelic gauge). A significant drop in pressure may indicate a leak or improper plate installation.</w:t>
      </w:r>
    </w:p>
    <w:p>
      <w:pPr>
        <w:spacing w:after="120"/>
        <w:ind w:left="288"/>
      </w:pPr>
      <w:r>
        <w:rPr>
          <w:rFonts w:ascii="Arial" w:hAnsi="Arial"/>
          <w:b/>
          <w:color w:val="7C8DB0"/>
        </w:rPr>
        <w:t xml:space="preserve">2.  </w:t>
      </w:r>
      <w:r>
        <w:rPr>
          <w:rFonts w:ascii="Arial" w:hAnsi="Arial"/>
          <w:color w:val="1E1E1E"/>
          <w:sz w:val="19"/>
        </w:rPr>
        <w:t>Monitor the dust collection system for 15 minutes of normal operation. Ensure no dust is escaping from the dropout box or access door.</w:t>
      </w:r>
    </w:p>
    <w:p>
      <w:pPr>
        <w:spacing w:after="120"/>
        <w:ind w:left="288"/>
      </w:pPr>
      <w:r>
        <w:rPr>
          <w:rFonts w:ascii="Arial" w:hAnsi="Arial"/>
          <w:b/>
          <w:color w:val="7C8DB0"/>
        </w:rPr>
        <w:t xml:space="preserve">3.  </w:t>
      </w:r>
      <w:r>
        <w:rPr>
          <w:rFonts w:ascii="Arial" w:hAnsi="Arial"/>
          <w:color w:val="1E1E1E"/>
          <w:sz w:val="19"/>
        </w:rPr>
        <w:t>Record the inspection findings (plate thickness measurements, number of plates replaced) in the CMMS (ServiceGrid). Update the PM schedule if the wear rate suggests a frequency change.</w:t>
      </w:r>
    </w:p>
    <w:p>
      <w:pPr>
        <w:spacing w:after="120"/>
        <w:ind w:left="288"/>
      </w:pPr>
      <w:r>
        <w:rPr>
          <w:rFonts w:ascii="Arial" w:hAnsi="Arial"/>
          <w:b/>
          <w:color w:val="7C8DB0"/>
        </w:rPr>
        <w:t xml:space="preserve">4.  </w:t>
      </w:r>
      <w:r>
        <w:rPr>
          <w:rFonts w:ascii="Arial" w:hAnsi="Arial"/>
          <w:color w:val="1E1E1E"/>
          <w:sz w:val="19"/>
        </w:rPr>
        <w:t>Sign off on the PM work order in ServiceGrid. Note any parts used (e.g., part numbers of replacement wear plates) for inventory tracking.</w:t>
      </w:r>
    </w:p>
    <w:p>
      <w:pPr>
        <w:spacing w:after="120"/>
        <w:ind w:left="288"/>
      </w:pPr>
      <w:r>
        <w:rPr>
          <w:rFonts w:ascii="Arial" w:hAnsi="Arial"/>
          <w:b/>
          <w:color w:val="7C8DB0"/>
        </w:rPr>
        <w:t xml:space="preserve">5.  </w:t>
      </w:r>
      <w:r>
        <w:rPr>
          <w:rFonts w:ascii="Arial" w:hAnsi="Arial"/>
          <w:color w:val="1E1E1E"/>
          <w:sz w:val="19"/>
        </w:rPr>
        <w:t>Return the equipment to production. Inform the shift supervisor that the dust collector is back in service.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