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Edgebander Glue Pot Non-Stick Coating Condition Inspection &amp; Maintenance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the condition of the non-stick coating (typically PTFE or ceramic) on the edgebander glue pot and associated components (roller, scraper, nozzle). A compromised coating leads to glue adhesion, carbonization, inconsistent glue film thickness, and premature wear of the glue pot assembly. This PM prevents scorched glue defects and extends the life of the glue pot.</w:t>
      </w:r>
    </w:p>
    <w:p>
      <w:pPr>
        <w:spacing w:after="120"/>
        <w:ind w:left="216"/>
      </w:pPr>
      <w:r>
        <w:rPr>
          <w:rFonts w:ascii="Arial" w:hAnsi="Arial"/>
          <w:color w:val="1E1E1E"/>
          <w:sz w:val="19"/>
        </w:rPr>
        <w:t>Frequency: Every 500 operating hours or monthly, whichever comes first. Perform more frequently if running high-temperature EVA or PUR glues.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edgebander at the disconnect switch. Apply personal lock and tag.</w:t>
              <w:br/>
            </w:r>
            <w:r>
              <w:rPr>
                <w:rFonts w:ascii="Arial" w:hAnsi="Arial"/>
                <w:color w:val="1E1E1E"/>
                <w:sz w:val="19"/>
              </w:rPr>
              <w:t>•  Thermal Hazard: Allow the glue pot to cool to below 50°C (122°F) before any contact. Verify temperature with an infrared thermometer.</w:t>
              <w:br/>
            </w:r>
            <w:r>
              <w:rPr>
                <w:rFonts w:ascii="Arial" w:hAnsi="Arial"/>
                <w:color w:val="1E1E1E"/>
                <w:sz w:val="19"/>
              </w:rPr>
              <w:t>•  PPE: Wear heat-resistant gloves (rated for 200°C minimum), safety glasses with side shields, and long sleeves. If scraping, use a face shield.</w:t>
              <w:br/>
            </w:r>
            <w:r>
              <w:rPr>
                <w:rFonts w:ascii="Arial" w:hAnsi="Arial"/>
                <w:color w:val="1E1E1E"/>
                <w:sz w:val="19"/>
              </w:rPr>
              <w:t>•  Chemical Hazard: If using a PTFE-safe cleaner, ensure adequate ventilation. Refer to SDS.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Brass or nylon scraper (never metal – will damage coating)</w:t>
      </w:r>
    </w:p>
    <w:p>
      <w:pPr>
        <w:spacing w:after="120"/>
        <w:ind w:left="360"/>
      </w:pPr>
      <w:r>
        <w:rPr>
          <w:rFonts w:ascii="Arial" w:hAnsi="Arial"/>
          <w:color w:val="1E1E1E"/>
          <w:sz w:val="19"/>
        </w:rPr>
        <w:t>▪  PTFE-safe non-abrasive cleaning pad (e.g., Scotch-Brite 7448 or equivalent)</w:t>
      </w:r>
    </w:p>
    <w:p>
      <w:pPr>
        <w:spacing w:after="120"/>
        <w:ind w:left="360"/>
      </w:pPr>
      <w:r>
        <w:rPr>
          <w:rFonts w:ascii="Arial" w:hAnsi="Arial"/>
          <w:color w:val="1E1E1E"/>
          <w:sz w:val="19"/>
        </w:rPr>
        <w:t>▪  PTFE-safe cleaner (e.g., isopropyl alcohol 99% or manufacturer-approved glue pot cleaner)</w:t>
      </w:r>
    </w:p>
    <w:p>
      <w:pPr>
        <w:spacing w:after="120"/>
        <w:ind w:left="360"/>
      </w:pPr>
      <w:r>
        <w:rPr>
          <w:rFonts w:ascii="Arial" w:hAnsi="Arial"/>
          <w:color w:val="1E1E1E"/>
          <w:sz w:val="19"/>
        </w:rPr>
        <w:t>▪  Lint-free wipes (Kimwipes or similar)</w:t>
      </w:r>
    </w:p>
    <w:p>
      <w:pPr>
        <w:spacing w:after="120"/>
        <w:ind w:left="360"/>
      </w:pPr>
      <w:r>
        <w:rPr>
          <w:rFonts w:ascii="Arial" w:hAnsi="Arial"/>
          <w:color w:val="1E1E1E"/>
          <w:sz w:val="19"/>
        </w:rPr>
        <w:t>▪  Infrared thermometer (non-contact, range -50 to 500°C)</w:t>
      </w:r>
    </w:p>
    <w:p>
      <w:pPr>
        <w:spacing w:after="120"/>
        <w:ind w:left="360"/>
      </w:pPr>
      <w:r>
        <w:rPr>
          <w:rFonts w:ascii="Arial" w:hAnsi="Arial"/>
          <w:color w:val="1E1E1E"/>
          <w:sz w:val="19"/>
        </w:rPr>
        <w:t>▪  Flashlight or inspection light</w:t>
      </w:r>
    </w:p>
    <w:p>
      <w:pPr>
        <w:spacing w:after="120"/>
        <w:ind w:left="360"/>
      </w:pPr>
      <w:r>
        <w:rPr>
          <w:rFonts w:ascii="Arial" w:hAnsi="Arial"/>
          <w:color w:val="1E1E1E"/>
          <w:sz w:val="19"/>
        </w:rPr>
        <w:t>▪  Digital camera or smartphone for documentation</w:t>
      </w:r>
    </w:p>
    <w:p>
      <w:pPr>
        <w:spacing w:after="120"/>
        <w:ind w:left="360"/>
      </w:pPr>
      <w:r>
        <w:rPr>
          <w:rFonts w:ascii="Arial" w:hAnsi="Arial"/>
          <w:color w:val="1E1E1E"/>
          <w:sz w:val="19"/>
        </w:rPr>
        <w:t>▪  Replacement glue pot assembly (if coating is severely compromised – consult OEM part number)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glue pot temperature is below 50°C using the infrared thermometer.</w:t>
      </w:r>
    </w:p>
    <w:p>
      <w:pPr>
        <w:spacing w:after="120"/>
        <w:ind w:left="288"/>
      </w:pPr>
      <w:r>
        <w:rPr>
          <w:rFonts w:ascii="Arial" w:hAnsi="Arial"/>
          <w:b/>
          <w:color w:val="7C8DB0"/>
        </w:rPr>
        <w:t xml:space="preserve">2.  </w:t>
      </w:r>
      <w:r>
        <w:rPr>
          <w:rFonts w:ascii="Arial" w:hAnsi="Arial"/>
          <w:color w:val="1E1E1E"/>
          <w:sz w:val="19"/>
        </w:rPr>
        <w:t>Remove any residual glue from the pot using the brass or nylon scraper. Work gently to avoid gouging the coating. Collect scrapings in a waste container.</w:t>
      </w:r>
    </w:p>
    <w:p>
      <w:pPr>
        <w:spacing w:after="120"/>
        <w:ind w:left="288"/>
      </w:pPr>
      <w:r>
        <w:rPr>
          <w:rFonts w:ascii="Arial" w:hAnsi="Arial"/>
          <w:b/>
          <w:color w:val="7C8DB0"/>
        </w:rPr>
        <w:t xml:space="preserve">3.  </w:t>
      </w:r>
      <w:r>
        <w:rPr>
          <w:rFonts w:ascii="Arial" w:hAnsi="Arial"/>
          <w:color w:val="1E1E1E"/>
          <w:sz w:val="19"/>
        </w:rPr>
        <w:t>Inspect the entire glue pot interior, glue roller, doctor blade, and nozzle for visible coating condition. Use the flashlight to look for flaking, peeling, blistering, or bare metal spots. Document findings with photos.</w:t>
      </w:r>
    </w:p>
    <w:p>
      <w:pPr>
        <w:spacing w:after="120"/>
        <w:ind w:left="288"/>
      </w:pPr>
      <w:r>
        <w:rPr>
          <w:rFonts w:ascii="Arial" w:hAnsi="Arial"/>
          <w:b/>
          <w:color w:val="7C8DB0"/>
        </w:rPr>
        <w:t xml:space="preserve">4.  </w:t>
      </w:r>
      <w:r>
        <w:rPr>
          <w:rFonts w:ascii="Arial" w:hAnsi="Arial"/>
          <w:color w:val="1E1E1E"/>
          <w:sz w:val="19"/>
        </w:rPr>
        <w:t>Clean the coated surfaces with the PTFE-safe cleaning pad moistened with isopropyl alcohol. Wipe in one direction only. Do not scrub aggressively. Remove all carbonized residue.</w:t>
      </w:r>
    </w:p>
    <w:p>
      <w:pPr>
        <w:spacing w:after="120"/>
        <w:ind w:left="288"/>
      </w:pPr>
      <w:r>
        <w:rPr>
          <w:rFonts w:ascii="Arial" w:hAnsi="Arial"/>
          <w:b/>
          <w:color w:val="7C8DB0"/>
        </w:rPr>
        <w:t xml:space="preserve">5.  </w:t>
      </w:r>
      <w:r>
        <w:rPr>
          <w:rFonts w:ascii="Arial" w:hAnsi="Arial"/>
          <w:color w:val="1E1E1E"/>
          <w:sz w:val="19"/>
        </w:rPr>
        <w:t>Rinse with clean isopropyl alcohol and wipe dry with lint-free wipes. Ensure no fibers remain on the coating.</w:t>
      </w:r>
    </w:p>
    <w:p>
      <w:pPr>
        <w:spacing w:after="120"/>
        <w:ind w:left="288"/>
      </w:pPr>
      <w:r>
        <w:rPr>
          <w:rFonts w:ascii="Arial" w:hAnsi="Arial"/>
          <w:b/>
          <w:color w:val="7C8DB0"/>
        </w:rPr>
        <w:t xml:space="preserve">6.  </w:t>
      </w:r>
      <w:r>
        <w:rPr>
          <w:rFonts w:ascii="Arial" w:hAnsi="Arial"/>
          <w:color w:val="1E1E1E"/>
          <w:sz w:val="19"/>
        </w:rPr>
        <w:t>Re-inspect the cleaned coating. Look for any areas where the coating has worn through to the aluminum substrate. Measure the thickness of the coating using a non-destructive coating thickness gauge if available (target: 25-50 microns for PTFE). Record readings.</w:t>
      </w:r>
    </w:p>
    <w:p>
      <w:pPr>
        <w:spacing w:after="120"/>
        <w:ind w:left="288"/>
      </w:pPr>
      <w:r>
        <w:rPr>
          <w:rFonts w:ascii="Arial" w:hAnsi="Arial"/>
          <w:b/>
          <w:color w:val="7C8DB0"/>
        </w:rPr>
        <w:t xml:space="preserve">7.  </w:t>
      </w:r>
      <w:r>
        <w:rPr>
          <w:rFonts w:ascii="Arial" w:hAnsi="Arial"/>
          <w:color w:val="1E1E1E"/>
          <w:sz w:val="19"/>
        </w:rPr>
        <w:t>If any bare metal is exposed (coating thickness &lt; 10 microns or visible metal), the glue pot must be replaced or recoated by an approved applicator. Do not attempt to patch the coating.</w:t>
      </w:r>
    </w:p>
    <w:p>
      <w:pPr>
        <w:spacing w:after="120"/>
        <w:ind w:left="288"/>
      </w:pPr>
      <w:r>
        <w:rPr>
          <w:rFonts w:ascii="Arial" w:hAnsi="Arial"/>
          <w:b/>
          <w:color w:val="7C8DB0"/>
        </w:rPr>
        <w:t xml:space="preserve">8.  </w:t>
      </w:r>
      <w:r>
        <w:rPr>
          <w:rFonts w:ascii="Arial" w:hAnsi="Arial"/>
          <w:color w:val="1E1E1E"/>
          <w:sz w:val="19"/>
        </w:rPr>
        <w:t>If the coating is intact but shows minor discoloration (normal thermal aging), proceed. If there are blisters or bubbles, the coating has delaminated – replace the pot.</w:t>
      </w:r>
    </w:p>
    <w:p>
      <w:pPr>
        <w:spacing w:after="120"/>
        <w:ind w:left="288"/>
      </w:pPr>
      <w:r>
        <w:rPr>
          <w:rFonts w:ascii="Arial" w:hAnsi="Arial"/>
          <w:b/>
          <w:color w:val="7C8DB0"/>
        </w:rPr>
        <w:t xml:space="preserve">9.  </w:t>
      </w:r>
      <w:r>
        <w:rPr>
          <w:rFonts w:ascii="Arial" w:hAnsi="Arial"/>
          <w:color w:val="1E1E1E"/>
          <w:sz w:val="19"/>
        </w:rPr>
        <w:t>Reassemble any removed guards or covers. Ensure the glue pot is free of debris before closing.</w:t>
      </w:r>
    </w:p>
    <w:p>
      <w:pPr>
        <w:spacing w:after="120"/>
        <w:ind w:left="288"/>
      </w:pPr>
      <w:r>
        <w:rPr>
          <w:rFonts w:ascii="Arial" w:hAnsi="Arial"/>
          <w:b/>
          <w:color w:val="7C8DB0"/>
        </w:rPr>
        <w:t xml:space="preserve">10.  </w:t>
      </w:r>
      <w:r>
        <w:rPr>
          <w:rFonts w:ascii="Arial" w:hAnsi="Arial"/>
          <w:color w:val="1E1E1E"/>
          <w:sz w:val="19"/>
        </w:rPr>
        <w:t>Remove LOTO and restore power to the machine.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Set the glue pot to operating temperature (typically 180-220°C for EVA, consult glue spec). Allow to stabilize for 10 minutes.</w:t>
      </w:r>
    </w:p>
    <w:p>
      <w:pPr>
        <w:spacing w:after="120"/>
        <w:ind w:left="288"/>
      </w:pPr>
      <w:r>
        <w:rPr>
          <w:rFonts w:ascii="Arial" w:hAnsi="Arial"/>
          <w:b/>
          <w:color w:val="7C8DB0"/>
        </w:rPr>
        <w:t xml:space="preserve">2.  </w:t>
      </w:r>
      <w:r>
        <w:rPr>
          <w:rFonts w:ascii="Arial" w:hAnsi="Arial"/>
          <w:color w:val="1E1E1E"/>
          <w:sz w:val="19"/>
        </w:rPr>
        <w:t>Load a test piece of edgebanding and run a short production cycle. Observe glue application: it should be uniform, without skips, stringing, or scorching.</w:t>
      </w:r>
    </w:p>
    <w:p>
      <w:pPr>
        <w:spacing w:after="120"/>
        <w:ind w:left="288"/>
      </w:pPr>
      <w:r>
        <w:rPr>
          <w:rFonts w:ascii="Arial" w:hAnsi="Arial"/>
          <w:b/>
          <w:color w:val="7C8DB0"/>
        </w:rPr>
        <w:t xml:space="preserve">3.  </w:t>
      </w:r>
      <w:r>
        <w:rPr>
          <w:rFonts w:ascii="Arial" w:hAnsi="Arial"/>
          <w:color w:val="1E1E1E"/>
          <w:sz w:val="19"/>
        </w:rPr>
        <w:t>Inspect the glue pot after the test run for any fresh adhesion of glue to the coating. If glue sticks, the coating is failing – replace the pot.</w:t>
      </w:r>
    </w:p>
    <w:p>
      <w:pPr>
        <w:spacing w:after="120"/>
        <w:ind w:left="288"/>
      </w:pPr>
      <w:r>
        <w:rPr>
          <w:rFonts w:ascii="Arial" w:hAnsi="Arial"/>
          <w:b/>
          <w:color w:val="7C8DB0"/>
        </w:rPr>
        <w:t xml:space="preserve">4.  </w:t>
      </w:r>
      <w:r>
        <w:rPr>
          <w:rFonts w:ascii="Arial" w:hAnsi="Arial"/>
          <w:color w:val="1E1E1E"/>
          <w:sz w:val="19"/>
        </w:rPr>
        <w:t>Record the inspection results (coating condition, thickness readings, photos) in the ServiceGrid PM work order. Note any parts replaced or scheduled for replacement.</w:t>
      </w:r>
    </w:p>
    <w:p>
      <w:pPr>
        <w:spacing w:after="120"/>
        <w:ind w:left="288"/>
      </w:pPr>
      <w:r>
        <w:rPr>
          <w:rFonts w:ascii="Arial" w:hAnsi="Arial"/>
          <w:b/>
          <w:color w:val="7C8DB0"/>
        </w:rPr>
        <w:t xml:space="preserve">5.  </w:t>
      </w:r>
      <w:r>
        <w:rPr>
          <w:rFonts w:ascii="Arial" w:hAnsi="Arial"/>
          <w:color w:val="1E1E1E"/>
          <w:sz w:val="19"/>
        </w:rPr>
        <w:t>Sign off on the PM work order in ServiceGrid. If coating was replaced, update the asset record with the new pot serial number and date.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