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Edgebanding Hot Air Activation Check For Zero Joint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calibrate the hot air activation system on a continuous-feed edgebander to ensure the adhesive reaches the correct activation temperature for a zero-joint bond. A zero-joint requires the hot air to uniformly heat the panel edge and the banding material so the glue melts and cures without visible seam lines. This check must be performed weekly or after every 40 hours of run time, whichever comes first, to prevent cold joints or scorched edges.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edgebander and apply a personal lock and tag on the disconnect switch.</w:t>
              <w:br/>
            </w:r>
            <w:r>
              <w:rPr>
                <w:rFonts w:ascii="Arial" w:hAnsi="Arial"/>
                <w:color w:val="1E1E1E"/>
                <w:sz w:val="19"/>
              </w:rPr>
              <w:t>•  Pneumatic Isolation: Close the compressed air supply valve and bleed any residual pressure from the system using the manual bleed valve.</w:t>
              <w:br/>
            </w:r>
            <w:r>
              <w:rPr>
                <w:rFonts w:ascii="Arial" w:hAnsi="Arial"/>
                <w:color w:val="1E1E1E"/>
                <w:sz w:val="19"/>
              </w:rPr>
              <w:t>•  Thermal Hazard: Allow the hot air blower and glue pot to cool to below 40°C before beginning any work. Use a non-contact infrared thermometer to verify.</w:t>
              <w:br/>
            </w:r>
            <w:r>
              <w:rPr>
                <w:rFonts w:ascii="Arial" w:hAnsi="Arial"/>
                <w:color w:val="1E1E1E"/>
                <w:sz w:val="19"/>
              </w:rPr>
              <w:t>•  PPE: Wear heat-resistant gloves, safety glasses with side shields, and steel-toed boots. If working near the glue pot, also wear a face shield and chemical-resistant apron.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Non-contact infrared thermometer (range -50°C to 500°C, accuracy ±1.5°C)</w:t>
      </w:r>
    </w:p>
    <w:p>
      <w:pPr>
        <w:spacing w:after="120"/>
        <w:ind w:left="360"/>
      </w:pPr>
      <w:r>
        <w:rPr>
          <w:rFonts w:ascii="Arial" w:hAnsi="Arial"/>
          <w:color w:val="1E1E1E"/>
          <w:sz w:val="19"/>
        </w:rPr>
        <w:t>▪  Contact thermocouple probe with digital readout (for verification)</w:t>
      </w:r>
    </w:p>
    <w:p>
      <w:pPr>
        <w:spacing w:after="120"/>
        <w:ind w:left="360"/>
      </w:pPr>
      <w:r>
        <w:rPr>
          <w:rFonts w:ascii="Arial" w:hAnsi="Arial"/>
          <w:color w:val="1E1E1E"/>
          <w:sz w:val="19"/>
        </w:rPr>
        <w:t>▪  Anemometer (hot-wire or vane type, range 0-30 m/s)</w:t>
      </w:r>
    </w:p>
    <w:p>
      <w:pPr>
        <w:spacing w:after="120"/>
        <w:ind w:left="360"/>
      </w:pPr>
      <w:r>
        <w:rPr>
          <w:rFonts w:ascii="Arial" w:hAnsi="Arial"/>
          <w:color w:val="1E1E1E"/>
          <w:sz w:val="19"/>
        </w:rPr>
        <w:t>▪  Set of hex keys (metric, 2.5mm to 8mm)</w:t>
      </w:r>
    </w:p>
    <w:p>
      <w:pPr>
        <w:spacing w:after="120"/>
        <w:ind w:left="360"/>
      </w:pPr>
      <w:r>
        <w:rPr>
          <w:rFonts w:ascii="Arial" w:hAnsi="Arial"/>
          <w:color w:val="1E1E1E"/>
          <w:sz w:val="19"/>
        </w:rPr>
        <w:t>▪  Flathead and Phillips screwdrivers (insulated)</w:t>
      </w:r>
    </w:p>
    <w:p>
      <w:pPr>
        <w:spacing w:after="120"/>
        <w:ind w:left="360"/>
      </w:pPr>
      <w:r>
        <w:rPr>
          <w:rFonts w:ascii="Arial" w:hAnsi="Arial"/>
          <w:color w:val="1E1E1E"/>
          <w:sz w:val="19"/>
        </w:rPr>
        <w:t>▪  Torque wrench (5-50 Nm range)</w:t>
      </w:r>
    </w:p>
    <w:p>
      <w:pPr>
        <w:spacing w:after="120"/>
        <w:ind w:left="360"/>
      </w:pPr>
      <w:r>
        <w:rPr>
          <w:rFonts w:ascii="Arial" w:hAnsi="Arial"/>
          <w:color w:val="1E1E1E"/>
          <w:sz w:val="19"/>
        </w:rPr>
        <w:t>▪  Replacement hot air nozzle gasket (if applicable)</w:t>
      </w:r>
    </w:p>
    <w:p>
      <w:pPr>
        <w:spacing w:after="120"/>
        <w:ind w:left="360"/>
      </w:pPr>
      <w:r>
        <w:rPr>
          <w:rFonts w:ascii="Arial" w:hAnsi="Arial"/>
          <w:color w:val="1E1E1E"/>
          <w:sz w:val="19"/>
        </w:rPr>
        <w:t>▪  High-temperature anti-seize compound (copper-based)</w:t>
      </w:r>
    </w:p>
    <w:p>
      <w:pPr>
        <w:spacing w:after="120"/>
        <w:ind w:left="360"/>
      </w:pPr>
      <w:r>
        <w:rPr>
          <w:rFonts w:ascii="Arial" w:hAnsi="Arial"/>
          <w:color w:val="1E1E1E"/>
          <w:sz w:val="19"/>
        </w:rPr>
        <w:t>▪  Clean lint-free rags and isopropyl alcohol (99%)</w:t>
      </w:r>
    </w:p>
    <w:p>
      <w:pPr>
        <w:spacing w:after="120"/>
        <w:ind w:left="360"/>
      </w:pPr>
      <w:r>
        <w:rPr>
          <w:rFonts w:ascii="Arial" w:hAnsi="Arial"/>
          <w:color w:val="1E1E1E"/>
          <w:sz w:val="19"/>
        </w:rPr>
        <w:t>▪  Edgebanding scrap pieces (same material as production) for test run</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zero energy state by attempting to start the machine and verifying no movement or air pressure.</w:t>
      </w:r>
    </w:p>
    <w:p>
      <w:pPr>
        <w:spacing w:after="120"/>
        <w:ind w:left="288"/>
      </w:pPr>
      <w:r>
        <w:rPr>
          <w:rFonts w:ascii="Arial" w:hAnsi="Arial"/>
          <w:b/>
          <w:color w:val="7C8DB0"/>
        </w:rPr>
        <w:t xml:space="preserve">2.  </w:t>
      </w:r>
      <w:r>
        <w:rPr>
          <w:rFonts w:ascii="Arial" w:hAnsi="Arial"/>
          <w:color w:val="1E1E1E"/>
          <w:sz w:val="19"/>
        </w:rPr>
        <w:t>Remove the safety guard covering the hot air blower assembly using a 5mm hex key. Place the guard and fasteners in a clean, labeled container.</w:t>
      </w:r>
    </w:p>
    <w:p>
      <w:pPr>
        <w:spacing w:after="120"/>
        <w:ind w:left="288"/>
      </w:pPr>
      <w:r>
        <w:rPr>
          <w:rFonts w:ascii="Arial" w:hAnsi="Arial"/>
          <w:b/>
          <w:color w:val="7C8DB0"/>
        </w:rPr>
        <w:t xml:space="preserve">3.  </w:t>
      </w:r>
      <w:r>
        <w:rPr>
          <w:rFonts w:ascii="Arial" w:hAnsi="Arial"/>
          <w:color w:val="1E1E1E"/>
          <w:sz w:val="19"/>
        </w:rPr>
        <w:t>Visually inspect the hot air nozzle for cracks, warping, or carbon buildup. If any damage is found, replace the nozzle. Clean the nozzle orifice with isopropyl alcohol and a lint-free rag.</w:t>
      </w:r>
    </w:p>
    <w:p>
      <w:pPr>
        <w:spacing w:after="120"/>
        <w:ind w:left="288"/>
      </w:pPr>
      <w:r>
        <w:rPr>
          <w:rFonts w:ascii="Arial" w:hAnsi="Arial"/>
          <w:b/>
          <w:color w:val="7C8DB0"/>
        </w:rPr>
        <w:t xml:space="preserve">4.  </w:t>
      </w:r>
      <w:r>
        <w:rPr>
          <w:rFonts w:ascii="Arial" w:hAnsi="Arial"/>
          <w:color w:val="1E1E1E"/>
          <w:sz w:val="19"/>
        </w:rPr>
        <w:t>Check the nozzle gasket for compression and integrity. If the gasket is flattened or torn, replace it. Apply a thin film of high-temperature anti-seize to the gasket mating surfaces before reassembly.</w:t>
      </w:r>
    </w:p>
    <w:p>
      <w:pPr>
        <w:spacing w:after="120"/>
        <w:ind w:left="288"/>
      </w:pPr>
      <w:r>
        <w:rPr>
          <w:rFonts w:ascii="Arial" w:hAnsi="Arial"/>
          <w:b/>
          <w:color w:val="7C8DB0"/>
        </w:rPr>
        <w:t xml:space="preserve">5.  </w:t>
      </w:r>
      <w:r>
        <w:rPr>
          <w:rFonts w:ascii="Arial" w:hAnsi="Arial"/>
          <w:color w:val="1E1E1E"/>
          <w:sz w:val="19"/>
        </w:rPr>
        <w:t>Using the infrared thermometer, measure the temperature of the heating element housing at three points: inlet, center, and outlet. Record the readings. The maximum variation between points must not exceed 10°C. If variation is greater, inspect the heating element for hot spots or failure.</w:t>
      </w:r>
    </w:p>
    <w:p>
      <w:pPr>
        <w:spacing w:after="120"/>
        <w:ind w:left="288"/>
      </w:pPr>
      <w:r>
        <w:rPr>
          <w:rFonts w:ascii="Arial" w:hAnsi="Arial"/>
          <w:b/>
          <w:color w:val="7C8DB0"/>
        </w:rPr>
        <w:t xml:space="preserve">6.  </w:t>
      </w:r>
      <w:r>
        <w:rPr>
          <w:rFonts w:ascii="Arial" w:hAnsi="Arial"/>
          <w:color w:val="1E1E1E"/>
          <w:sz w:val="19"/>
        </w:rPr>
        <w:t>Reconnect power temporarily (following safe re-energization procedure) and set the hot air controller to the standard production temperature (e.g., 180°C for EVA glue). Allow the blower to stabilize for 5 minutes.</w:t>
      </w:r>
    </w:p>
    <w:p>
      <w:pPr>
        <w:spacing w:after="120"/>
        <w:ind w:left="288"/>
      </w:pPr>
      <w:r>
        <w:rPr>
          <w:rFonts w:ascii="Arial" w:hAnsi="Arial"/>
          <w:b/>
          <w:color w:val="7C8DB0"/>
        </w:rPr>
        <w:t xml:space="preserve">7.  </w:t>
      </w:r>
      <w:r>
        <w:rPr>
          <w:rFonts w:ascii="Arial" w:hAnsi="Arial"/>
          <w:color w:val="1E1E1E"/>
          <w:sz w:val="19"/>
        </w:rPr>
        <w:t>With the blower running, use the anemometer to measure the airflow velocity at the nozzle exit. Position the probe 5mm from the nozzle face. The velocity should be within ±10% of the OEM specification (typically 15-25 m/s). If outside range, adjust the blower speed via the VFD or check for blockages in the duct.</w:t>
      </w:r>
    </w:p>
    <w:p>
      <w:pPr>
        <w:spacing w:after="120"/>
        <w:ind w:left="288"/>
      </w:pPr>
      <w:r>
        <w:rPr>
          <w:rFonts w:ascii="Arial" w:hAnsi="Arial"/>
          <w:b/>
          <w:color w:val="7C8DB0"/>
        </w:rPr>
        <w:t xml:space="preserve">8.  </w:t>
      </w:r>
      <w:r>
        <w:rPr>
          <w:rFonts w:ascii="Arial" w:hAnsi="Arial"/>
          <w:color w:val="1E1E1E"/>
          <w:sz w:val="19"/>
        </w:rPr>
        <w:t>Use the contact thermocouple probe to measure the actual air temperature at the nozzle exit. Compare to the setpoint. If the deviation exceeds ±5°C, recalibrate the temperature controller per the OEM manual or replace the thermocouple.</w:t>
      </w:r>
    </w:p>
    <w:p>
      <w:pPr>
        <w:spacing w:after="120"/>
        <w:ind w:left="288"/>
      </w:pPr>
      <w:r>
        <w:rPr>
          <w:rFonts w:ascii="Arial" w:hAnsi="Arial"/>
          <w:b/>
          <w:color w:val="7C8DB0"/>
        </w:rPr>
        <w:t xml:space="preserve">9.  </w:t>
      </w:r>
      <w:r>
        <w:rPr>
          <w:rFonts w:ascii="Arial" w:hAnsi="Arial"/>
          <w:color w:val="1E1E1E"/>
          <w:sz w:val="19"/>
        </w:rPr>
        <w:t>Perform a zero-joint test: Place a scrap panel and banding in the machine, run a short cycle, and inspect the glue line. The joint should be invisible to the naked eye and the band should not peel off when flexed. If the joint is visible or weak, repeat steps 6-8 and adjust parameters.</w:t>
      </w:r>
    </w:p>
    <w:p>
      <w:pPr>
        <w:spacing w:after="120"/>
        <w:ind w:left="288"/>
      </w:pPr>
      <w:r>
        <w:rPr>
          <w:rFonts w:ascii="Arial" w:hAnsi="Arial"/>
          <w:b/>
          <w:color w:val="7C8DB0"/>
        </w:rPr>
        <w:t xml:space="preserve">10.  </w:t>
      </w:r>
      <w:r>
        <w:rPr>
          <w:rFonts w:ascii="Arial" w:hAnsi="Arial"/>
          <w:color w:val="1E1E1E"/>
          <w:sz w:val="19"/>
        </w:rPr>
        <w:t>Disconnect power again and reinstall the safety guard. Torque the guard fasteners to 8 Nm using the torque wrench.</w:t>
      </w:r>
    </w:p>
    <w:p>
      <w:pPr>
        <w:spacing w:after="120"/>
        <w:ind w:left="288"/>
      </w:pPr>
      <w:r>
        <w:rPr>
          <w:rFonts w:ascii="Arial" w:hAnsi="Arial"/>
          <w:b/>
          <w:color w:val="7C8DB0"/>
        </w:rPr>
        <w:t xml:space="preserve">11.  </w:t>
      </w:r>
      <w:r>
        <w:rPr>
          <w:rFonts w:ascii="Arial" w:hAnsi="Arial"/>
          <w:color w:val="1E1E1E"/>
          <w:sz w:val="19"/>
        </w:rPr>
        <w:t>Remove LOTO devices and restore power. Run the machine through a full warm-up cycle (5 minutes) before resuming production.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full production cycle on a test panel using the standard edgebanding material. Verify the glue line is continuous, free of bubbles, and the band is flush with the panel edge.</w:t>
      </w:r>
    </w:p>
    <w:p>
      <w:pPr>
        <w:spacing w:after="120"/>
        <w:ind w:left="288"/>
      </w:pPr>
      <w:r>
        <w:rPr>
          <w:rFonts w:ascii="Arial" w:hAnsi="Arial"/>
          <w:b/>
          <w:color w:val="7C8DB0"/>
        </w:rPr>
        <w:t xml:space="preserve">2.  </w:t>
      </w:r>
      <w:r>
        <w:rPr>
          <w:rFonts w:ascii="Arial" w:hAnsi="Arial"/>
          <w:color w:val="1E1E1E"/>
          <w:sz w:val="19"/>
        </w:rPr>
        <w:t>Perform a peel test: Attempt to manually peel the band from the panel at the leading edge. The band should not separate without tearing the substrate.</w:t>
      </w:r>
    </w:p>
    <w:p>
      <w:pPr>
        <w:spacing w:after="120"/>
        <w:ind w:left="288"/>
      </w:pPr>
      <w:r>
        <w:rPr>
          <w:rFonts w:ascii="Arial" w:hAnsi="Arial"/>
          <w:b/>
          <w:color w:val="7C8DB0"/>
        </w:rPr>
        <w:t xml:space="preserve">3.  </w:t>
      </w:r>
      <w:r>
        <w:rPr>
          <w:rFonts w:ascii="Arial" w:hAnsi="Arial"/>
          <w:color w:val="1E1E1E"/>
          <w:sz w:val="19"/>
        </w:rPr>
        <w:t>Record all temperature and airflow readings in the PM log within ServiceGrid. Note any adjustments made or parts replaced.</w:t>
      </w:r>
    </w:p>
    <w:p>
      <w:pPr>
        <w:spacing w:after="120"/>
        <w:ind w:left="288"/>
      </w:pPr>
      <w:r>
        <w:rPr>
          <w:rFonts w:ascii="Arial" w:hAnsi="Arial"/>
          <w:b/>
          <w:color w:val="7C8DB0"/>
        </w:rPr>
        <w:t xml:space="preserve">4.  </w:t>
      </w:r>
      <w:r>
        <w:rPr>
          <w:rFonts w:ascii="Arial" w:hAnsi="Arial"/>
          <w:color w:val="1E1E1E"/>
          <w:sz w:val="19"/>
        </w:rPr>
        <w:t>Sign off on the work order in ServiceGrid, confirming the zero-joint check is complete and the machine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