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7C8DB0"/>
                <w:sz w:val="22"/>
              </w:rPr>
              <w:t>[ INSERT YOUR COMPANY NAME HERE ]</w:t>
              <w:br/>
            </w:r>
            <w:r>
              <w:rPr>
                <w:rFonts w:ascii="Arial" w:hAnsi="Arial"/>
                <w:color w:val="787878"/>
                <w:sz w:val="19"/>
              </w:rPr>
              <w:t>Maintenance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60 min</w:t>
            </w:r>
          </w:p>
        </w:tc>
      </w:tr>
    </w:tbl>
    <w:p>
      <w:pPr>
        <w:spacing w:after="280"/>
        <w:pBdr>
          <w:bottom w:val="single" w:sz="8" w:space="8" w:color="7C8DB0"/>
        </w:pBdr>
      </w:pPr>
    </w:p>
    <w:p>
      <w:pPr>
        <w:spacing w:after="240"/>
      </w:pPr>
      <w:r>
        <w:rPr>
          <w:rFonts w:ascii="Arial" w:hAnsi="Arial"/>
          <w:b/>
          <w:color w:val="1E1E1E"/>
          <w:sz w:val="30"/>
        </w:rPr>
        <w:t>Forklift Lead Acid Battery Equalization And Watering Maintenance</w:t>
      </w:r>
    </w:p>
    <w:p>
      <w:r>
        <w:rPr>
          <w:rFonts w:ascii="Arial" w:hAnsi="Arial"/>
          <w:b/>
          <w:color w:val="7C8DB0"/>
          <w:sz w:val="22"/>
        </w:rPr>
        <w:t>1.0 Maintenance Objective &amp; Frequency</w:t>
      </w:r>
    </w:p>
    <w:p>
      <w:pPr>
        <w:spacing w:after="120"/>
        <w:ind w:left="216"/>
      </w:pPr>
      <w:r>
        <w:rPr>
          <w:rFonts w:ascii="Arial" w:hAnsi="Arial"/>
          <w:color w:val="1E1E1E"/>
          <w:sz w:val="19"/>
        </w:rPr>
        <w:t>The objective of this procedure is to perform a controlled equalization charge and manual watering of a lead acid forklift battery to prevent sulfation, balance cell voltages, and maintain proper electrolyte levels. Equalization is required every 5 to 10 charge cycles or when specific gravity readings vary by more than 0.030 between cells. Watering must be performed after the equalization charge is complete and the battery has cooled to ambient temperature.</w:t>
      </w:r>
    </w:p>
    <w:p>
      <w:r>
        <w:rPr>
          <w:rFonts w:ascii="Arial" w:hAnsi="Arial"/>
          <w:b/>
          <w:color w:val="7C8DB0"/>
          <w:sz w:val="22"/>
        </w:rPr>
        <w:t>2.0 Lockout/Tagout (LOTO) &amp; Safety</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Electrical Isolation: Disconnect the battery from the forklift and the charger. Apply a personal lock and tag on the charger disconnect switch.</w:t>
              <w:br/>
            </w:r>
            <w:r>
              <w:rPr>
                <w:rFonts w:ascii="Arial" w:hAnsi="Arial"/>
                <w:color w:val="1E1E1E"/>
                <w:sz w:val="19"/>
              </w:rPr>
              <w:t>•  Chemical Hazard: Lead acid electrolyte contains sulfuric acid. Wear acid-resistant gloves, safety goggles, and a rubber apron.</w:t>
              <w:br/>
            </w:r>
            <w:r>
              <w:rPr>
                <w:rFonts w:ascii="Arial" w:hAnsi="Arial"/>
                <w:color w:val="1E1E1E"/>
                <w:sz w:val="19"/>
              </w:rPr>
              <w:t>•  Ventilation: Ensure the charging area is well-ventilated to prevent hydrogen gas accumulation. No open flames or sparks.</w:t>
              <w:br/>
            </w:r>
            <w:r>
              <w:rPr>
                <w:rFonts w:ascii="Arial" w:hAnsi="Arial"/>
                <w:color w:val="1E1E1E"/>
                <w:sz w:val="19"/>
              </w:rPr>
              <w:t>•  Spill Response: Have a spill kit with baking soda and water nearby to neutralize any acid spills.</w:t>
            </w:r>
          </w:p>
        </w:tc>
      </w:tr>
    </w:tbl>
    <w:p>
      <w:pPr>
        <w:spacing w:after="240"/>
      </w:pPr>
    </w:p>
    <w:p>
      <w:r>
        <w:rPr>
          <w:rFonts w:ascii="Arial" w:hAnsi="Arial"/>
          <w:b/>
          <w:color w:val="7C8DB0"/>
          <w:sz w:val="22"/>
        </w:rPr>
        <w:t>3.0 Required Tools, Parts &amp; Lubricants</w:t>
      </w:r>
    </w:p>
    <w:p>
      <w:pPr>
        <w:spacing w:after="120"/>
        <w:ind w:left="360"/>
      </w:pPr>
      <w:r>
        <w:rPr>
          <w:rFonts w:ascii="Arial" w:hAnsi="Arial"/>
          <w:color w:val="1E1E1E"/>
          <w:sz w:val="19"/>
        </w:rPr>
        <w:t>▪  Distilled or deionized water (5-gallon jug with pump or squeeze bottle)</w:t>
      </w:r>
    </w:p>
    <w:p>
      <w:pPr>
        <w:spacing w:after="120"/>
        <w:ind w:left="360"/>
      </w:pPr>
      <w:r>
        <w:rPr>
          <w:rFonts w:ascii="Arial" w:hAnsi="Arial"/>
          <w:color w:val="1E1E1E"/>
          <w:sz w:val="19"/>
        </w:rPr>
        <w:t>▪  Hydrometer with temperature compensation (range 1.100 to 1.300 specific gravity)</w:t>
      </w:r>
    </w:p>
    <w:p>
      <w:pPr>
        <w:spacing w:after="120"/>
        <w:ind w:left="360"/>
      </w:pPr>
      <w:r>
        <w:rPr>
          <w:rFonts w:ascii="Arial" w:hAnsi="Arial"/>
          <w:color w:val="1E1E1E"/>
          <w:sz w:val="19"/>
        </w:rPr>
        <w:t>▪  Digital voltmeter (0-20 VDC, accuracy ±0.01 V)</w:t>
      </w:r>
    </w:p>
    <w:p>
      <w:pPr>
        <w:spacing w:after="120"/>
        <w:ind w:left="360"/>
      </w:pPr>
      <w:r>
        <w:rPr>
          <w:rFonts w:ascii="Arial" w:hAnsi="Arial"/>
          <w:color w:val="1E1E1E"/>
          <w:sz w:val="19"/>
        </w:rPr>
        <w:t>▪  Battery watering gun or single-point watering system (if equipped)</w:t>
      </w:r>
    </w:p>
    <w:p>
      <w:pPr>
        <w:spacing w:after="120"/>
        <w:ind w:left="360"/>
      </w:pPr>
      <w:r>
        <w:rPr>
          <w:rFonts w:ascii="Arial" w:hAnsi="Arial"/>
          <w:color w:val="1E1E1E"/>
          <w:sz w:val="19"/>
        </w:rPr>
        <w:t>▪  Acid-resistant gloves, safety goggles, rubber apron</w:t>
      </w:r>
    </w:p>
    <w:p>
      <w:pPr>
        <w:spacing w:after="120"/>
        <w:ind w:left="360"/>
      </w:pPr>
      <w:r>
        <w:rPr>
          <w:rFonts w:ascii="Arial" w:hAnsi="Arial"/>
          <w:color w:val="1E1E1E"/>
          <w:sz w:val="19"/>
        </w:rPr>
        <w:t>▪  Baking soda and water spill neutralization kit</w:t>
      </w:r>
    </w:p>
    <w:p>
      <w:pPr>
        <w:spacing w:after="120"/>
        <w:ind w:left="360"/>
      </w:pPr>
      <w:r>
        <w:rPr>
          <w:rFonts w:ascii="Arial" w:hAnsi="Arial"/>
          <w:color w:val="1E1E1E"/>
          <w:sz w:val="19"/>
        </w:rPr>
        <w:t>▪  Clean lint-free rags</w:t>
      </w:r>
    </w:p>
    <w:p>
      <w:pPr>
        <w:spacing w:after="120"/>
        <w:ind w:left="360"/>
      </w:pPr>
      <w:r>
        <w:rPr>
          <w:rFonts w:ascii="Arial" w:hAnsi="Arial"/>
          <w:color w:val="1E1E1E"/>
          <w:sz w:val="19"/>
        </w:rPr>
        <w:t>▪  Torque wrench (for terminal connections, if required)</w:t>
      </w:r>
    </w:p>
    <w:p>
      <w:r>
        <w:rPr>
          <w:rFonts w:ascii="Arial" w:hAnsi="Arial"/>
          <w:b/>
          <w:color w:val="7C8DB0"/>
          <w:sz w:val="22"/>
        </w:rPr>
        <w:t>4.0 Step-by-Step Maintenance Procedure</w:t>
      </w:r>
    </w:p>
    <w:p>
      <w:pPr>
        <w:spacing w:after="120"/>
        <w:ind w:left="288"/>
      </w:pPr>
      <w:r>
        <w:rPr>
          <w:rFonts w:ascii="Arial" w:hAnsi="Arial"/>
          <w:b/>
          <w:color w:val="7C8DB0"/>
        </w:rPr>
        <w:t xml:space="preserve">1.  </w:t>
      </w:r>
      <w:r>
        <w:rPr>
          <w:rFonts w:ascii="Arial" w:hAnsi="Arial"/>
          <w:color w:val="1E1E1E"/>
          <w:sz w:val="19"/>
        </w:rPr>
        <w:t>Perform LOTO: Disconnect the battery from the forklift and the charger. Lock and tag the charger disconnect switch.</w:t>
      </w:r>
    </w:p>
    <w:p>
      <w:pPr>
        <w:spacing w:after="120"/>
        <w:ind w:left="288"/>
      </w:pPr>
      <w:r>
        <w:rPr>
          <w:rFonts w:ascii="Arial" w:hAnsi="Arial"/>
          <w:b/>
          <w:color w:val="7C8DB0"/>
        </w:rPr>
        <w:t xml:space="preserve">2.  </w:t>
      </w:r>
      <w:r>
        <w:rPr>
          <w:rFonts w:ascii="Arial" w:hAnsi="Arial"/>
          <w:color w:val="1E1E1E"/>
          <w:sz w:val="19"/>
        </w:rPr>
        <w:t>Inspect the battery exterior for cracks, bulges, or signs of acid leakage. Clean the top of the battery with a baking soda and water solution if any corrosion or residue is present. Rinse with clean water and dry with a lint-free rag.</w:t>
      </w:r>
    </w:p>
    <w:p>
      <w:pPr>
        <w:spacing w:after="120"/>
        <w:ind w:left="288"/>
      </w:pPr>
      <w:r>
        <w:rPr>
          <w:rFonts w:ascii="Arial" w:hAnsi="Arial"/>
          <w:b/>
          <w:color w:val="7C8DB0"/>
        </w:rPr>
        <w:t xml:space="preserve">3.  </w:t>
      </w:r>
      <w:r>
        <w:rPr>
          <w:rFonts w:ascii="Arial" w:hAnsi="Arial"/>
          <w:color w:val="1E1E1E"/>
          <w:sz w:val="19"/>
        </w:rPr>
        <w:t>Remove all vent caps and set them aside in a clean container. Inspect the vent caps for damage or blockage; replace if necessary.</w:t>
      </w:r>
    </w:p>
    <w:p>
      <w:pPr>
        <w:spacing w:after="120"/>
        <w:ind w:left="288"/>
      </w:pPr>
      <w:r>
        <w:rPr>
          <w:rFonts w:ascii="Arial" w:hAnsi="Arial"/>
          <w:b/>
          <w:color w:val="7C8DB0"/>
        </w:rPr>
        <w:t xml:space="preserve">4.  </w:t>
      </w:r>
      <w:r>
        <w:rPr>
          <w:rFonts w:ascii="Arial" w:hAnsi="Arial"/>
          <w:color w:val="1E1E1E"/>
          <w:sz w:val="19"/>
        </w:rPr>
        <w:t>Measure and record the specific gravity of each cell using a temperature-compensated hydrometer. Note any cell with a reading more than 0.030 below the average. These cells may require additional attention.</w:t>
      </w:r>
    </w:p>
    <w:p>
      <w:pPr>
        <w:spacing w:after="120"/>
        <w:ind w:left="288"/>
      </w:pPr>
      <w:r>
        <w:rPr>
          <w:rFonts w:ascii="Arial" w:hAnsi="Arial"/>
          <w:b/>
          <w:color w:val="7C8DB0"/>
        </w:rPr>
        <w:t xml:space="preserve">5.  </w:t>
      </w:r>
      <w:r>
        <w:rPr>
          <w:rFonts w:ascii="Arial" w:hAnsi="Arial"/>
          <w:color w:val="1E1E1E"/>
          <w:sz w:val="19"/>
        </w:rPr>
        <w:t>Measure and record the open circuit voltage of each cell using a digital voltmeter. Compare to the manufacturer’s specification (typically 2.10 to 2.13 V per cell for a fully charged battery).</w:t>
      </w:r>
    </w:p>
    <w:p>
      <w:pPr>
        <w:spacing w:after="120"/>
        <w:ind w:left="288"/>
      </w:pPr>
      <w:r>
        <w:rPr>
          <w:rFonts w:ascii="Arial" w:hAnsi="Arial"/>
          <w:b/>
          <w:color w:val="7C8DB0"/>
        </w:rPr>
        <w:t xml:space="preserve">6.  </w:t>
      </w:r>
      <w:r>
        <w:rPr>
          <w:rFonts w:ascii="Arial" w:hAnsi="Arial"/>
          <w:color w:val="1E1E1E"/>
          <w:sz w:val="19"/>
        </w:rPr>
        <w:t>Reconnect the battery to the charger. Set the charger to the equalization mode (if automatic) or manually set the charging voltage to 2.50 to 2.70 V per cell (e.g., 15.0 to 16.2 V for a 6-cell battery). Charge for 2 to 4 hours, monitoring the temperature. Stop immediately if any cell exceeds 50°C (122°F).</w:t>
      </w:r>
    </w:p>
    <w:p>
      <w:pPr>
        <w:spacing w:after="120"/>
        <w:ind w:left="288"/>
      </w:pPr>
      <w:r>
        <w:rPr>
          <w:rFonts w:ascii="Arial" w:hAnsi="Arial"/>
          <w:b/>
          <w:color w:val="7C8DB0"/>
        </w:rPr>
        <w:t xml:space="preserve">7.  </w:t>
      </w:r>
      <w:r>
        <w:rPr>
          <w:rFonts w:ascii="Arial" w:hAnsi="Arial"/>
          <w:color w:val="1E1E1E"/>
          <w:sz w:val="19"/>
        </w:rPr>
        <w:t>After the equalization charge is complete, disconnect the battery from the charger and allow it to cool to ambient temperature (typically 1 to 2 hours). Do not water a hot battery.</w:t>
      </w:r>
    </w:p>
    <w:p>
      <w:pPr>
        <w:spacing w:after="120"/>
        <w:ind w:left="288"/>
      </w:pPr>
      <w:r>
        <w:rPr>
          <w:rFonts w:ascii="Arial" w:hAnsi="Arial"/>
          <w:b/>
          <w:color w:val="7C8DB0"/>
        </w:rPr>
        <w:t xml:space="preserve">8.  </w:t>
      </w:r>
      <w:r>
        <w:rPr>
          <w:rFonts w:ascii="Arial" w:hAnsi="Arial"/>
          <w:color w:val="1E1E1E"/>
          <w:sz w:val="19"/>
        </w:rPr>
        <w:t>Using distilled or deionized water, fill each cell to the maximum level indicator (usually 1/4 to 1/2 inch below the fill well). Do not overfill. Use a watering gun or squeeze bottle to avoid splashing.</w:t>
      </w:r>
    </w:p>
    <w:p>
      <w:pPr>
        <w:spacing w:after="120"/>
        <w:ind w:left="288"/>
      </w:pPr>
      <w:r>
        <w:rPr>
          <w:rFonts w:ascii="Arial" w:hAnsi="Arial"/>
          <w:b/>
          <w:color w:val="7C8DB0"/>
        </w:rPr>
        <w:t xml:space="preserve">9.  </w:t>
      </w:r>
      <w:r>
        <w:rPr>
          <w:rFonts w:ascii="Arial" w:hAnsi="Arial"/>
          <w:color w:val="1E1E1E"/>
          <w:sz w:val="19"/>
        </w:rPr>
        <w:t>Reinstall all vent caps securely. Wipe any moisture from the top of the battery with a clean rag.</w:t>
      </w:r>
    </w:p>
    <w:p>
      <w:pPr>
        <w:spacing w:after="120"/>
        <w:ind w:left="288"/>
      </w:pPr>
      <w:r>
        <w:rPr>
          <w:rFonts w:ascii="Arial" w:hAnsi="Arial"/>
          <w:b/>
          <w:color w:val="7C8DB0"/>
        </w:rPr>
        <w:t xml:space="preserve">10.  </w:t>
      </w:r>
      <w:r>
        <w:rPr>
          <w:rFonts w:ascii="Arial" w:hAnsi="Arial"/>
          <w:color w:val="1E1E1E"/>
          <w:sz w:val="19"/>
        </w:rPr>
        <w:t>Reconnect the battery to the forklift. Torque the terminal connections to the manufacturer’s specification (typically 100 to 120 in-lbs for standard posts). Apply a thin coat of dielectric grease to prevent corrosion.</w:t>
      </w:r>
    </w:p>
    <w:p>
      <w:r>
        <w:rPr>
          <w:rFonts w:ascii="Arial" w:hAnsi="Arial"/>
          <w:b/>
          <w:color w:val="7C8DB0"/>
          <w:sz w:val="22"/>
        </w:rPr>
        <w:t>5.0 Verification &amp; Return to Service</w:t>
      </w:r>
    </w:p>
    <w:p>
      <w:pPr>
        <w:spacing w:after="120"/>
        <w:ind w:left="288"/>
      </w:pPr>
      <w:r>
        <w:rPr>
          <w:rFonts w:ascii="Arial" w:hAnsi="Arial"/>
          <w:b/>
          <w:color w:val="7C8DB0"/>
        </w:rPr>
        <w:t xml:space="preserve">1.  </w:t>
      </w:r>
      <w:r>
        <w:rPr>
          <w:rFonts w:ascii="Arial" w:hAnsi="Arial"/>
          <w:color w:val="1E1E1E"/>
          <w:sz w:val="19"/>
        </w:rPr>
        <w:t>Reconnect the battery to the charger and perform a standard charge cycle. Monitor the charger for error codes or abnormal behavior.</w:t>
      </w:r>
    </w:p>
    <w:p>
      <w:pPr>
        <w:spacing w:after="120"/>
        <w:ind w:left="288"/>
      </w:pPr>
      <w:r>
        <w:rPr>
          <w:rFonts w:ascii="Arial" w:hAnsi="Arial"/>
          <w:b/>
          <w:color w:val="7C8DB0"/>
        </w:rPr>
        <w:t xml:space="preserve">2.  </w:t>
      </w:r>
      <w:r>
        <w:rPr>
          <w:rFonts w:ascii="Arial" w:hAnsi="Arial"/>
          <w:color w:val="1E1E1E"/>
          <w:sz w:val="19"/>
        </w:rPr>
        <w:t>After the charge cycle, measure the specific gravity of three representative cells. Readings should be within 0.030 of each other and within the manufacturer’s specified range (typically 1.275 to 1.300 at 25°C).</w:t>
      </w:r>
    </w:p>
    <w:p>
      <w:pPr>
        <w:spacing w:after="120"/>
        <w:ind w:left="288"/>
      </w:pPr>
      <w:r>
        <w:rPr>
          <w:rFonts w:ascii="Arial" w:hAnsi="Arial"/>
          <w:b/>
          <w:color w:val="7C8DB0"/>
        </w:rPr>
        <w:t xml:space="preserve">3.  </w:t>
      </w:r>
      <w:r>
        <w:rPr>
          <w:rFonts w:ascii="Arial" w:hAnsi="Arial"/>
          <w:color w:val="1E1E1E"/>
          <w:sz w:val="19"/>
        </w:rPr>
        <w:t>Start the forklift and perform a test drive for 5 minutes, including forward, reverse, and lifting operations. Verify that the battery gauge shows normal voltage under load and no warning lights are illuminated.</w:t>
      </w:r>
    </w:p>
    <w:p>
      <w:pPr>
        <w:spacing w:after="120"/>
        <w:ind w:left="288"/>
      </w:pPr>
      <w:r>
        <w:rPr>
          <w:rFonts w:ascii="Arial" w:hAnsi="Arial"/>
          <w:b/>
          <w:color w:val="7C8DB0"/>
        </w:rPr>
        <w:t xml:space="preserve">4.  </w:t>
      </w:r>
      <w:r>
        <w:rPr>
          <w:rFonts w:ascii="Arial" w:hAnsi="Arial"/>
          <w:color w:val="1E1E1E"/>
          <w:sz w:val="19"/>
        </w:rPr>
        <w:t>Inspect the battery compartment for any signs of acid leakage or overheating. Ensure all vent caps are secure.</w:t>
      </w:r>
    </w:p>
    <w:p>
      <w:pPr>
        <w:spacing w:after="120"/>
        <w:ind w:left="288"/>
      </w:pPr>
      <w:r>
        <w:rPr>
          <w:rFonts w:ascii="Arial" w:hAnsi="Arial"/>
          <w:b/>
          <w:color w:val="7C8DB0"/>
        </w:rPr>
        <w:t xml:space="preserve">5.  </w:t>
      </w:r>
      <w:r>
        <w:rPr>
          <w:rFonts w:ascii="Arial" w:hAnsi="Arial"/>
          <w:color w:val="1E1E1E"/>
          <w:sz w:val="19"/>
        </w:rPr>
        <w:t>Sign off on the PM work order in ServiceGrid, recording the specific gravity readings, voltage readings, and any observations. Update the battery maintenance log.</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maintenance template provided for educational and informational purposes only. It does not constitute professional engineering or reliability advice. The end-user assumes all liability for validating all step sequences, torque specs, and LOTO protocols against specific machinery OEM manuals before deployment to a live production floor.</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ServiceGrid CMMS &amp; Maintenance</w:t>
          </w:r>
        </w:p>
      </w:tc>
      <w:tc>
        <w:tcPr>
          <w:tcW w:type="dxa" w:w="5400"/>
        </w:tcPr>
        <w:p>
          <w:pPr>
            <w:jc w:val="right"/>
          </w:pPr>
          <w:r>
            <w:rPr>
              <w:rFonts w:ascii="Arial" w:hAnsi="Arial"/>
              <w:b/>
              <w:color w:val="7C8DB0"/>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