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120 min</w:t>
            </w:r>
          </w:p>
        </w:tc>
      </w:tr>
    </w:tbl>
    <w:p>
      <w:pPr>
        <w:spacing w:after="280"/>
        <w:pBdr>
          <w:bottom w:val="single" w:sz="8" w:space="8" w:color="7C8DB0"/>
        </w:pBdr>
      </w:pPr>
    </w:p>
    <w:p>
      <w:pPr>
        <w:spacing w:after="240"/>
      </w:pPr>
      <w:r>
        <w:rPr>
          <w:rFonts w:ascii="Arial" w:hAnsi="Arial"/>
          <w:b/>
          <w:color w:val="1E1E1E"/>
          <w:sz w:val="30"/>
        </w:rPr>
        <w:t>PVC Edgeband UV Resistance Accelerated Test Procedure</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perform an accelerated UV resistance test on PVC edgebanding samples to verify material durability and colorfastness under simulated sunlight exposure. This test ensures that the edgeband meets OEM specifications for UV stability, preventing premature degradation in service. The test is performed on a quarterly basis or whenever a new batch of edgeband material is received.</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the UV test chamber from main power supply and apply personal lockout tag.</w:t>
              <w:br/>
            </w:r>
            <w:r>
              <w:rPr>
                <w:rFonts w:ascii="Arial" w:hAnsi="Arial"/>
                <w:color w:val="1E1E1E"/>
                <w:sz w:val="19"/>
              </w:rPr>
              <w:t>•  UV Radiation Hazard: Ensure the chamber is completely dark and interlock is engaged before opening. Wear UV-blocking safety glasses and long-sleeve lab coat.</w:t>
              <w:br/>
            </w:r>
            <w:r>
              <w:rPr>
                <w:rFonts w:ascii="Arial" w:hAnsi="Arial"/>
                <w:color w:val="1E1E1E"/>
                <w:sz w:val="19"/>
              </w:rPr>
              <w:t>•  Heat Hazard: Allow chamber to cool for 15 minutes after cycle completion before opening. Use heat-resistant gloves.</w:t>
              <w:br/>
            </w:r>
            <w:r>
              <w:rPr>
                <w:rFonts w:ascii="Arial" w:hAnsi="Arial"/>
                <w:color w:val="1E1E1E"/>
                <w:sz w:val="19"/>
              </w:rPr>
              <w:t>•  Chemical Safety: Handle any cleaning solvents (e.g., isopropyl alcohol) in a well-ventilated area. Wear nitrile gloves.</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UV test chamber (e.g., QUV or Xenon-arc type) with calibrated UV lamps</w:t>
      </w:r>
    </w:p>
    <w:p>
      <w:pPr>
        <w:spacing w:after="120"/>
        <w:ind w:left="360"/>
      </w:pPr>
      <w:r>
        <w:rPr>
          <w:rFonts w:ascii="Arial" w:hAnsi="Arial"/>
          <w:color w:val="1E1E1E"/>
          <w:sz w:val="19"/>
        </w:rPr>
        <w:t>▪  PVC edgeband samples (minimum 3 per test, 100mm x 50mm each)</w:t>
      </w:r>
    </w:p>
    <w:p>
      <w:pPr>
        <w:spacing w:after="120"/>
        <w:ind w:left="360"/>
      </w:pPr>
      <w:r>
        <w:rPr>
          <w:rFonts w:ascii="Arial" w:hAnsi="Arial"/>
          <w:color w:val="1E1E1E"/>
          <w:sz w:val="19"/>
        </w:rPr>
        <w:t>▪  Color spectrophotometer (e.g., X-Rite or similar) for Delta E measurement</w:t>
      </w:r>
    </w:p>
    <w:p>
      <w:pPr>
        <w:spacing w:after="120"/>
        <w:ind w:left="360"/>
      </w:pPr>
      <w:r>
        <w:rPr>
          <w:rFonts w:ascii="Arial" w:hAnsi="Arial"/>
          <w:color w:val="1E1E1E"/>
          <w:sz w:val="19"/>
        </w:rPr>
        <w:t>▪  Digital timer or chamber-integrated timer</w:t>
      </w:r>
    </w:p>
    <w:p>
      <w:pPr>
        <w:spacing w:after="120"/>
        <w:ind w:left="360"/>
      </w:pPr>
      <w:r>
        <w:rPr>
          <w:rFonts w:ascii="Arial" w:hAnsi="Arial"/>
          <w:color w:val="1E1E1E"/>
          <w:sz w:val="19"/>
        </w:rPr>
        <w:t>▪  Isopropyl alcohol (99%) and lint-free wipes for cleaning samples</w:t>
      </w:r>
    </w:p>
    <w:p>
      <w:pPr>
        <w:spacing w:after="120"/>
        <w:ind w:left="360"/>
      </w:pPr>
      <w:r>
        <w:rPr>
          <w:rFonts w:ascii="Arial" w:hAnsi="Arial"/>
          <w:color w:val="1E1E1E"/>
          <w:sz w:val="19"/>
        </w:rPr>
        <w:t>▪  Heat-resistant gloves and UV-blocking safety glasses</w:t>
      </w:r>
    </w:p>
    <w:p>
      <w:pPr>
        <w:spacing w:after="120"/>
        <w:ind w:left="360"/>
      </w:pPr>
      <w:r>
        <w:rPr>
          <w:rFonts w:ascii="Arial" w:hAnsi="Arial"/>
          <w:color w:val="1E1E1E"/>
          <w:sz w:val="19"/>
        </w:rPr>
        <w:t>▪  Calibration certificate for UV irradiance sensor (valid within 12 months)</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Verify that the UV test chamber is clean and free of debris. Wipe interior surfaces with isopropyl alcohol and lint-free wipes.</w:t>
      </w:r>
    </w:p>
    <w:p>
      <w:pPr>
        <w:spacing w:after="120"/>
        <w:ind w:left="288"/>
      </w:pPr>
      <w:r>
        <w:rPr>
          <w:rFonts w:ascii="Arial" w:hAnsi="Arial"/>
          <w:b/>
          <w:color w:val="7C8DB0"/>
        </w:rPr>
        <w:t xml:space="preserve">2.  </w:t>
      </w:r>
      <w:r>
        <w:rPr>
          <w:rFonts w:ascii="Arial" w:hAnsi="Arial"/>
          <w:color w:val="1E1E1E"/>
          <w:sz w:val="19"/>
        </w:rPr>
        <w:t>Confirm that the UV lamps are within their rated service life (typically 2000 hours). Record lamp hours from the chamber display.</w:t>
      </w:r>
    </w:p>
    <w:p>
      <w:pPr>
        <w:spacing w:after="120"/>
        <w:ind w:left="288"/>
      </w:pPr>
      <w:r>
        <w:rPr>
          <w:rFonts w:ascii="Arial" w:hAnsi="Arial"/>
          <w:b/>
          <w:color w:val="7C8DB0"/>
        </w:rPr>
        <w:t xml:space="preserve">3.  </w:t>
      </w:r>
      <w:r>
        <w:rPr>
          <w:rFonts w:ascii="Arial" w:hAnsi="Arial"/>
          <w:color w:val="1E1E1E"/>
          <w:sz w:val="19"/>
        </w:rPr>
        <w:t>Prepare three PVC edgeband samples by cleaning each with isopropyl alcohol and allowing to air dry for 5 minutes.</w:t>
      </w:r>
    </w:p>
    <w:p>
      <w:pPr>
        <w:spacing w:after="120"/>
        <w:ind w:left="288"/>
      </w:pPr>
      <w:r>
        <w:rPr>
          <w:rFonts w:ascii="Arial" w:hAnsi="Arial"/>
          <w:b/>
          <w:color w:val="7C8DB0"/>
        </w:rPr>
        <w:t xml:space="preserve">4.  </w:t>
      </w:r>
      <w:r>
        <w:rPr>
          <w:rFonts w:ascii="Arial" w:hAnsi="Arial"/>
          <w:color w:val="1E1E1E"/>
          <w:sz w:val="19"/>
        </w:rPr>
        <w:t>Measure and record the initial color values (L*, a*, b*) of each sample using the spectrophotometer. Note the measurement conditions (illuminant D65, 10° observer).</w:t>
      </w:r>
    </w:p>
    <w:p>
      <w:pPr>
        <w:spacing w:after="120"/>
        <w:ind w:left="288"/>
      </w:pPr>
      <w:r>
        <w:rPr>
          <w:rFonts w:ascii="Arial" w:hAnsi="Arial"/>
          <w:b/>
          <w:color w:val="7C8DB0"/>
        </w:rPr>
        <w:t xml:space="preserve">5.  </w:t>
      </w:r>
      <w:r>
        <w:rPr>
          <w:rFonts w:ascii="Arial" w:hAnsi="Arial"/>
          <w:color w:val="1E1E1E"/>
          <w:sz w:val="19"/>
        </w:rPr>
        <w:t>Place the samples in the UV chamber sample holders, ensuring they are evenly spaced and not touching each other or the chamber walls.</w:t>
      </w:r>
    </w:p>
    <w:p>
      <w:pPr>
        <w:spacing w:after="120"/>
        <w:ind w:left="288"/>
      </w:pPr>
      <w:r>
        <w:rPr>
          <w:rFonts w:ascii="Arial" w:hAnsi="Arial"/>
          <w:b/>
          <w:color w:val="7C8DB0"/>
        </w:rPr>
        <w:t xml:space="preserve">6.  </w:t>
      </w:r>
      <w:r>
        <w:rPr>
          <w:rFonts w:ascii="Arial" w:hAnsi="Arial"/>
          <w:color w:val="1E1E1E"/>
          <w:sz w:val="19"/>
        </w:rPr>
        <w:t>Set the chamber parameters: irradiance at 0.89 W/m² at 340 nm, black panel temperature at 60°C, and cycle time of 8 hours continuous UV exposure.</w:t>
      </w:r>
    </w:p>
    <w:p>
      <w:pPr>
        <w:spacing w:after="120"/>
        <w:ind w:left="288"/>
      </w:pPr>
      <w:r>
        <w:rPr>
          <w:rFonts w:ascii="Arial" w:hAnsi="Arial"/>
          <w:b/>
          <w:color w:val="7C8DB0"/>
        </w:rPr>
        <w:t xml:space="preserve">7.  </w:t>
      </w:r>
      <w:r>
        <w:rPr>
          <w:rFonts w:ascii="Arial" w:hAnsi="Arial"/>
          <w:color w:val="1E1E1E"/>
          <w:sz w:val="19"/>
        </w:rPr>
        <w:t>Close and latch the chamber door. Verify the interlock is engaged. Power on the chamber and start the test cycle.</w:t>
      </w:r>
    </w:p>
    <w:p>
      <w:pPr>
        <w:spacing w:after="120"/>
        <w:ind w:left="288"/>
      </w:pPr>
      <w:r>
        <w:rPr>
          <w:rFonts w:ascii="Arial" w:hAnsi="Arial"/>
          <w:b/>
          <w:color w:val="7C8DB0"/>
        </w:rPr>
        <w:t xml:space="preserve">8.  </w:t>
      </w:r>
      <w:r>
        <w:rPr>
          <w:rFonts w:ascii="Arial" w:hAnsi="Arial"/>
          <w:color w:val="1E1E1E"/>
          <w:sz w:val="19"/>
        </w:rPr>
        <w:t>After the 8-hour cycle completes, allow the chamber to cool for 15 minutes. Then, open the door and remove the samples using heat-resistant gloves.</w:t>
      </w:r>
    </w:p>
    <w:p>
      <w:pPr>
        <w:spacing w:after="120"/>
        <w:ind w:left="288"/>
      </w:pPr>
      <w:r>
        <w:rPr>
          <w:rFonts w:ascii="Arial" w:hAnsi="Arial"/>
          <w:b/>
          <w:color w:val="7C8DB0"/>
        </w:rPr>
        <w:t xml:space="preserve">9.  </w:t>
      </w:r>
      <w:r>
        <w:rPr>
          <w:rFonts w:ascii="Arial" w:hAnsi="Arial"/>
          <w:color w:val="1E1E1E"/>
          <w:sz w:val="19"/>
        </w:rPr>
        <w:t>Allow samples to stabilize at room temperature for 30 minutes. Then, measure the final color values (L*, a*, b*) using the spectrophotometer under the same conditions as the initial measurement.</w:t>
      </w:r>
    </w:p>
    <w:p>
      <w:pPr>
        <w:spacing w:after="120"/>
        <w:ind w:left="288"/>
      </w:pPr>
      <w:r>
        <w:rPr>
          <w:rFonts w:ascii="Arial" w:hAnsi="Arial"/>
          <w:b/>
          <w:color w:val="7C8DB0"/>
        </w:rPr>
        <w:t xml:space="preserve">10.  </w:t>
      </w:r>
      <w:r>
        <w:rPr>
          <w:rFonts w:ascii="Arial" w:hAnsi="Arial"/>
          <w:color w:val="1E1E1E"/>
          <w:sz w:val="19"/>
        </w:rPr>
        <w:t>Calculate the Delta E (color difference) for each sample using the formula: ΔE = √((ΔL*)^2 + (Δa*)^2 + (Δb*)^2). Record all values.</w:t>
      </w:r>
    </w:p>
    <w:p>
      <w:pPr>
        <w:spacing w:after="120"/>
        <w:ind w:left="288"/>
      </w:pPr>
      <w:r>
        <w:rPr>
          <w:rFonts w:ascii="Arial" w:hAnsi="Arial"/>
          <w:b/>
          <w:color w:val="7C8DB0"/>
        </w:rPr>
        <w:t xml:space="preserve">11.  </w:t>
      </w:r>
      <w:r>
        <w:rPr>
          <w:rFonts w:ascii="Arial" w:hAnsi="Arial"/>
          <w:color w:val="1E1E1E"/>
          <w:sz w:val="19"/>
        </w:rPr>
        <w:t>Compare the average Delta E against the OEM specification (typically ΔE ≤ 2.0 for acceptable UV resistance). If the average exceeds the limit, flag the batch for rejection.</w:t>
      </w:r>
    </w:p>
    <w:p>
      <w:pPr>
        <w:spacing w:after="120"/>
        <w:ind w:left="288"/>
      </w:pPr>
      <w:r>
        <w:rPr>
          <w:rFonts w:ascii="Arial" w:hAnsi="Arial"/>
          <w:b/>
          <w:color w:val="7C8DB0"/>
        </w:rPr>
        <w:t xml:space="preserve">12.  </w:t>
      </w:r>
      <w:r>
        <w:rPr>
          <w:rFonts w:ascii="Arial" w:hAnsi="Arial"/>
          <w:color w:val="1E1E1E"/>
          <w:sz w:val="19"/>
        </w:rPr>
        <w:t>Clean the chamber interior with isopropyl alcohol and lint-free wipes. Record the test results and lamp hours in the maintenance log.</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Verify that the UV chamber is clean, dry, and free of any sample residue. Ensure the door interlock functions correctly.</w:t>
      </w:r>
    </w:p>
    <w:p>
      <w:pPr>
        <w:spacing w:after="120"/>
        <w:ind w:left="288"/>
      </w:pPr>
      <w:r>
        <w:rPr>
          <w:rFonts w:ascii="Arial" w:hAnsi="Arial"/>
          <w:b/>
          <w:color w:val="7C8DB0"/>
        </w:rPr>
        <w:t xml:space="preserve">2.  </w:t>
      </w:r>
      <w:r>
        <w:rPr>
          <w:rFonts w:ascii="Arial" w:hAnsi="Arial"/>
          <w:color w:val="1E1E1E"/>
          <w:sz w:val="19"/>
        </w:rPr>
        <w:t>Perform a quick functional check: run a 5-minute test cycle with no samples to confirm the chamber powers up and the UV lamps illuminate.</w:t>
      </w:r>
    </w:p>
    <w:p>
      <w:pPr>
        <w:spacing w:after="120"/>
        <w:ind w:left="288"/>
      </w:pPr>
      <w:r>
        <w:rPr>
          <w:rFonts w:ascii="Arial" w:hAnsi="Arial"/>
          <w:b/>
          <w:color w:val="7C8DB0"/>
        </w:rPr>
        <w:t xml:space="preserve">3.  </w:t>
      </w:r>
      <w:r>
        <w:rPr>
          <w:rFonts w:ascii="Arial" w:hAnsi="Arial"/>
          <w:color w:val="1E1E1E"/>
          <w:sz w:val="19"/>
        </w:rPr>
        <w:t>Document the test results in the quality control log and update the ServiceGrid PM work order with the Delta E values and pass/fail status.</w:t>
      </w:r>
    </w:p>
    <w:p>
      <w:pPr>
        <w:spacing w:after="120"/>
        <w:ind w:left="288"/>
      </w:pPr>
      <w:r>
        <w:rPr>
          <w:rFonts w:ascii="Arial" w:hAnsi="Arial"/>
          <w:b/>
          <w:color w:val="7C8DB0"/>
        </w:rPr>
        <w:t xml:space="preserve">4.  </w:t>
      </w:r>
      <w:r>
        <w:rPr>
          <w:rFonts w:ascii="Arial" w:hAnsi="Arial"/>
          <w:color w:val="1E1E1E"/>
          <w:sz w:val="19"/>
        </w:rPr>
        <w:t>If the batch passes, release the edgeband material for production. If it fails, quarantine the batch and notify the quality manager.</w:t>
      </w:r>
    </w:p>
    <w:p>
      <w:pPr>
        <w:spacing w:after="120"/>
        <w:ind w:left="288"/>
      </w:pPr>
      <w:r>
        <w:rPr>
          <w:rFonts w:ascii="Arial" w:hAnsi="Arial"/>
          <w:b/>
          <w:color w:val="7C8DB0"/>
        </w:rPr>
        <w:t xml:space="preserve">5.  </w:t>
      </w:r>
      <w:r>
        <w:rPr>
          <w:rFonts w:ascii="Arial" w:hAnsi="Arial"/>
          <w:color w:val="1E1E1E"/>
          <w:sz w:val="19"/>
        </w:rPr>
        <w:t>Sign off on the PM work order in ServiceGrid, confirming the test is complete and the chamber is ready for the next use.</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