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7C8DB0"/>
        </w:pBdr>
      </w:pPr>
    </w:p>
    <w:p>
      <w:pPr>
        <w:spacing w:after="240"/>
      </w:pPr>
      <w:r>
        <w:rPr>
          <w:rFonts w:ascii="Arial" w:hAnsi="Arial"/>
          <w:b/>
          <w:color w:val="1E1E1E"/>
          <w:sz w:val="30"/>
        </w:rPr>
        <w:t>Threadlocker Adhesive Application: Blue Medium Strength and Red High Strength</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ensure correct application of threadlocker adhesives (blue medium strength and red high strength) to threaded fasteners on manufacturing equipment. Proper application prevents fastener loosening due to vibration, maintains clamp load, and reduces the risk of mechanical failure and unplanned downtime. This procedure is performed during initial assembly, reassembly after maintenance, or as part of a scheduled PM inspection (e.g., every 500 operating hours or quarterly) on critical bolted joints.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main power supply to the equipment before accessing any fasteners.</w:t>
              <w:br/>
            </w:r>
            <w:r>
              <w:rPr>
                <w:rFonts w:ascii="Arial" w:hAnsi="Arial"/>
                <w:color w:val="1E1E1E"/>
                <w:sz w:val="19"/>
              </w:rPr>
              <w:t>•  Pneumatic/Hydraulic Isolation: Depressurize and lock out pneumatic or hydraulic systems if fasteners are on pressure-containing components.</w:t>
              <w:br/>
            </w:r>
            <w:r>
              <w:rPr>
                <w:rFonts w:ascii="Arial" w:hAnsi="Arial"/>
                <w:color w:val="1E1E1E"/>
                <w:sz w:val="19"/>
              </w:rPr>
              <w:t>•  Mechanical Lockout: Ensure all moving parts are blocked or secured against unintended motion.</w:t>
              <w:br/>
            </w:r>
            <w:r>
              <w:rPr>
                <w:rFonts w:ascii="Arial" w:hAnsi="Arial"/>
                <w:color w:val="1E1E1E"/>
                <w:sz w:val="19"/>
              </w:rPr>
              <w:t>•  PPE: Wear safety glasses, nitrile gloves, and appropriate work clothing. Threadlocker adhesives can irritate skin and eyes.</w:t>
              <w:br/>
            </w:r>
            <w:r>
              <w:rPr>
                <w:rFonts w:ascii="Arial" w:hAnsi="Arial"/>
                <w:color w:val="1E1E1E"/>
                <w:sz w:val="19"/>
              </w:rPr>
              <w:t>•  Ventilation: Work in a well-ventilated area to avoid inhalation of vapors.</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Blue medium strength threadlocker (e.g., Loctite 242 or equivalent)</w:t>
      </w:r>
    </w:p>
    <w:p>
      <w:pPr>
        <w:spacing w:after="120"/>
        <w:ind w:left="360"/>
      </w:pPr>
      <w:r>
        <w:rPr>
          <w:rFonts w:ascii="Arial" w:hAnsi="Arial"/>
          <w:color w:val="1E1E1E"/>
          <w:sz w:val="19"/>
        </w:rPr>
        <w:t>▪  Red high strength threadlocker (e.g., Loctite 271 or equivalent)</w:t>
      </w:r>
    </w:p>
    <w:p>
      <w:pPr>
        <w:spacing w:after="120"/>
        <w:ind w:left="360"/>
      </w:pPr>
      <w:r>
        <w:rPr>
          <w:rFonts w:ascii="Arial" w:hAnsi="Arial"/>
          <w:color w:val="1E1E1E"/>
          <w:sz w:val="19"/>
        </w:rPr>
        <w:t>▪  Clean lint-free cloths or wipes</w:t>
      </w:r>
    </w:p>
    <w:p>
      <w:pPr>
        <w:spacing w:after="120"/>
        <w:ind w:left="360"/>
      </w:pPr>
      <w:r>
        <w:rPr>
          <w:rFonts w:ascii="Arial" w:hAnsi="Arial"/>
          <w:color w:val="1E1E1E"/>
          <w:sz w:val="19"/>
        </w:rPr>
        <w:t>▪  Isopropyl alcohol (99% concentration) or acetone for degreasing</w:t>
      </w:r>
    </w:p>
    <w:p>
      <w:pPr>
        <w:spacing w:after="120"/>
        <w:ind w:left="360"/>
      </w:pPr>
      <w:r>
        <w:rPr>
          <w:rFonts w:ascii="Arial" w:hAnsi="Arial"/>
          <w:color w:val="1E1E1E"/>
          <w:sz w:val="19"/>
        </w:rPr>
        <w:t>▪  Small brush or applicator (if not using bottle nozzle)</w:t>
      </w:r>
    </w:p>
    <w:p>
      <w:pPr>
        <w:spacing w:after="120"/>
        <w:ind w:left="360"/>
      </w:pPr>
      <w:r>
        <w:rPr>
          <w:rFonts w:ascii="Arial" w:hAnsi="Arial"/>
          <w:color w:val="1E1E1E"/>
          <w:sz w:val="19"/>
        </w:rPr>
        <w:t>▪  Torque wrench (calibrated, range appropriate for fastener size)</w:t>
      </w:r>
    </w:p>
    <w:p>
      <w:pPr>
        <w:spacing w:after="120"/>
        <w:ind w:left="360"/>
      </w:pPr>
      <w:r>
        <w:rPr>
          <w:rFonts w:ascii="Arial" w:hAnsi="Arial"/>
          <w:color w:val="1E1E1E"/>
          <w:sz w:val="19"/>
        </w:rPr>
        <w:t>▪  Socket set and ratchet or appropriate hand tools</w:t>
      </w:r>
    </w:p>
    <w:p>
      <w:pPr>
        <w:spacing w:after="120"/>
        <w:ind w:left="360"/>
      </w:pPr>
      <w:r>
        <w:rPr>
          <w:rFonts w:ascii="Arial" w:hAnsi="Arial"/>
          <w:color w:val="1E1E1E"/>
          <w:sz w:val="19"/>
        </w:rPr>
        <w:t>▪  Personal protective equipment (safety glasses, nitrile gloves)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LOTO is applied and equipment is safe to work on. Confirm all energy sources are isolated and locked out.</w:t>
      </w:r>
    </w:p>
    <w:p>
      <w:pPr>
        <w:spacing w:after="120"/>
        <w:ind w:left="288"/>
      </w:pPr>
      <w:r>
        <w:rPr>
          <w:rFonts w:ascii="Arial" w:hAnsi="Arial"/>
          <w:b/>
          <w:color w:val="7C8DB0"/>
        </w:rPr>
        <w:t xml:space="preserve">2.  </w:t>
      </w:r>
      <w:r>
        <w:rPr>
          <w:rFonts w:ascii="Arial" w:hAnsi="Arial"/>
          <w:color w:val="1E1E1E"/>
          <w:sz w:val="19"/>
        </w:rPr>
        <w:t>Clean the fastener threads and the mating threaded hole or nut using a clean lint-free cloth soaked with isopropyl alcohol or acetone. Remove all dirt, oil, grease, and old threadlocker residue. Allow to dry completely for at least 30 seconds.</w:t>
      </w:r>
    </w:p>
    <w:p>
      <w:pPr>
        <w:spacing w:after="120"/>
        <w:ind w:left="288"/>
      </w:pPr>
      <w:r>
        <w:rPr>
          <w:rFonts w:ascii="Arial" w:hAnsi="Arial"/>
          <w:b/>
          <w:color w:val="7C8DB0"/>
        </w:rPr>
        <w:t xml:space="preserve">3.  </w:t>
      </w:r>
      <w:r>
        <w:rPr>
          <w:rFonts w:ascii="Arial" w:hAnsi="Arial"/>
          <w:color w:val="1E1E1E"/>
          <w:sz w:val="19"/>
        </w:rPr>
        <w:t>Select the correct threadlocker grade: use blue medium strength for fasteners that may require future disassembly (e.g., access panels, covers, adjustment bolts); use red high strength for permanent assemblies that should not be disassembled without heat (e.g., critical structural bolts, bearing retainers).</w:t>
      </w:r>
    </w:p>
    <w:p>
      <w:pPr>
        <w:spacing w:after="120"/>
        <w:ind w:left="288"/>
      </w:pPr>
      <w:r>
        <w:rPr>
          <w:rFonts w:ascii="Arial" w:hAnsi="Arial"/>
          <w:b/>
          <w:color w:val="7C8DB0"/>
        </w:rPr>
        <w:t xml:space="preserve">4.  </w:t>
      </w:r>
      <w:r>
        <w:rPr>
          <w:rFonts w:ascii="Arial" w:hAnsi="Arial"/>
          <w:color w:val="1E1E1E"/>
          <w:sz w:val="19"/>
        </w:rPr>
        <w:t>Shake the threadlocker bottle vigorously for 15-20 seconds to ensure uniform consistency.</w:t>
      </w:r>
    </w:p>
    <w:p>
      <w:pPr>
        <w:spacing w:after="120"/>
        <w:ind w:left="288"/>
      </w:pPr>
      <w:r>
        <w:rPr>
          <w:rFonts w:ascii="Arial" w:hAnsi="Arial"/>
          <w:b/>
          <w:color w:val="7C8DB0"/>
        </w:rPr>
        <w:t xml:space="preserve">5.  </w:t>
      </w:r>
      <w:r>
        <w:rPr>
          <w:rFonts w:ascii="Arial" w:hAnsi="Arial"/>
          <w:color w:val="1E1E1E"/>
          <w:sz w:val="19"/>
        </w:rPr>
        <w:t>Apply a continuous, even bead of threadlocker to the fastener threads. For bolts up to 1 inch diameter, apply a single bead covering 3-4 full threads starting from the bolt tip. For larger fasteners, apply a bead covering 5-6 threads. Do not overapply; excess adhesive can cause hydraulic locking or contamination.</w:t>
      </w:r>
    </w:p>
    <w:p>
      <w:pPr>
        <w:spacing w:after="120"/>
        <w:ind w:left="288"/>
      </w:pPr>
      <w:r>
        <w:rPr>
          <w:rFonts w:ascii="Arial" w:hAnsi="Arial"/>
          <w:b/>
          <w:color w:val="7C8DB0"/>
        </w:rPr>
        <w:t xml:space="preserve">6.  </w:t>
      </w:r>
      <w:r>
        <w:rPr>
          <w:rFonts w:ascii="Arial" w:hAnsi="Arial"/>
          <w:color w:val="1E1E1E"/>
          <w:sz w:val="19"/>
        </w:rPr>
        <w:t>Immediately assemble the fastener into the threaded hole or nut. Hand-tighten until snug, then use a torque wrench to tighten to the specified torque value per OEM specifications. Typical torque values range from 10 Nm for small fasteners to 200 Nm for large bolts.</w:t>
      </w:r>
    </w:p>
    <w:p>
      <w:pPr>
        <w:spacing w:after="120"/>
        <w:ind w:left="288"/>
      </w:pPr>
      <w:r>
        <w:rPr>
          <w:rFonts w:ascii="Arial" w:hAnsi="Arial"/>
          <w:b/>
          <w:color w:val="7C8DB0"/>
        </w:rPr>
        <w:t xml:space="preserve">7.  </w:t>
      </w:r>
      <w:r>
        <w:rPr>
          <w:rFonts w:ascii="Arial" w:hAnsi="Arial"/>
          <w:color w:val="1E1E1E"/>
          <w:sz w:val="19"/>
        </w:rPr>
        <w:t>Wipe away any excess threadlocker that squeezes out using a clean cloth. Excess adhesive can interfere with adjacent components or create a mess.</w:t>
      </w:r>
    </w:p>
    <w:p>
      <w:pPr>
        <w:spacing w:after="120"/>
        <w:ind w:left="288"/>
      </w:pPr>
      <w:r>
        <w:rPr>
          <w:rFonts w:ascii="Arial" w:hAnsi="Arial"/>
          <w:b/>
          <w:color w:val="7C8DB0"/>
        </w:rPr>
        <w:t xml:space="preserve">8.  </w:t>
      </w:r>
      <w:r>
        <w:rPr>
          <w:rFonts w:ascii="Arial" w:hAnsi="Arial"/>
          <w:color w:val="1E1E1E"/>
          <w:sz w:val="19"/>
        </w:rPr>
        <w:t>Allow the threadlocker to cure. Blue medium strength achieves functional cure in 1 hour at room temperature (full cure in 24 hours). Red high strength achieves functional cure in 2 hours (full cure in 24 hours). Do not subject the joint to service loads until the adhesive has cured.</w:t>
      </w:r>
    </w:p>
    <w:p>
      <w:pPr>
        <w:spacing w:after="120"/>
        <w:ind w:left="288"/>
      </w:pPr>
      <w:r>
        <w:rPr>
          <w:rFonts w:ascii="Arial" w:hAnsi="Arial"/>
          <w:b/>
          <w:color w:val="7C8DB0"/>
        </w:rPr>
        <w:t xml:space="preserve">9.  </w:t>
      </w:r>
      <w:r>
        <w:rPr>
          <w:rFonts w:ascii="Arial" w:hAnsi="Arial"/>
          <w:color w:val="1E1E1E"/>
          <w:sz w:val="19"/>
        </w:rPr>
        <w:t>Record the application details in the maintenance log or ServiceGrid work order, including fastener location, threadlocker type, torque value, and date.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After the adhesive has fully cured (minimum 24 hours), perform a visual inspection to confirm no adhesive leakage or contamination on surrounding components.</w:t>
      </w:r>
    </w:p>
    <w:p>
      <w:pPr>
        <w:spacing w:after="120"/>
        <w:ind w:left="288"/>
      </w:pPr>
      <w:r>
        <w:rPr>
          <w:rFonts w:ascii="Arial" w:hAnsi="Arial"/>
          <w:b/>
          <w:color w:val="7C8DB0"/>
        </w:rPr>
        <w:t xml:space="preserve">2.  </w:t>
      </w:r>
      <w:r>
        <w:rPr>
          <w:rFonts w:ascii="Arial" w:hAnsi="Arial"/>
          <w:color w:val="1E1E1E"/>
          <w:sz w:val="19"/>
        </w:rPr>
        <w:t>Reapply LOTO removal procedures: remove personal locks and tags, restore energy sources in the correct sequence.</w:t>
      </w:r>
    </w:p>
    <w:p>
      <w:pPr>
        <w:spacing w:after="120"/>
        <w:ind w:left="288"/>
      </w:pPr>
      <w:r>
        <w:rPr>
          <w:rFonts w:ascii="Arial" w:hAnsi="Arial"/>
          <w:b/>
          <w:color w:val="7C8DB0"/>
        </w:rPr>
        <w:t xml:space="preserve">3.  </w:t>
      </w:r>
      <w:r>
        <w:rPr>
          <w:rFonts w:ascii="Arial" w:hAnsi="Arial"/>
          <w:color w:val="1E1E1E"/>
          <w:sz w:val="19"/>
        </w:rPr>
        <w:t>Run the equipment through a normal operating cycle (e.g., start, run at idle, then full speed) while monitoring the fastened joint for any signs of loosening, vibration, or abnormal noise.</w:t>
      </w:r>
    </w:p>
    <w:p>
      <w:pPr>
        <w:spacing w:after="120"/>
        <w:ind w:left="288"/>
      </w:pPr>
      <w:r>
        <w:rPr>
          <w:rFonts w:ascii="Arial" w:hAnsi="Arial"/>
          <w:b/>
          <w:color w:val="7C8DB0"/>
        </w:rPr>
        <w:t xml:space="preserve">4.  </w:t>
      </w:r>
      <w:r>
        <w:rPr>
          <w:rFonts w:ascii="Arial" w:hAnsi="Arial"/>
          <w:color w:val="1E1E1E"/>
          <w:sz w:val="19"/>
        </w:rPr>
        <w:t>If the joint is accessible, perform a torque check on a sample of fasteners (e.g., 10% of total) using a torque wrench set to the specified torque. If any fastener moves, re-torque and allow additional cure time.</w:t>
      </w:r>
    </w:p>
    <w:p>
      <w:pPr>
        <w:spacing w:after="120"/>
        <w:ind w:left="288"/>
      </w:pPr>
      <w:r>
        <w:rPr>
          <w:rFonts w:ascii="Arial" w:hAnsi="Arial"/>
          <w:b/>
          <w:color w:val="7C8DB0"/>
        </w:rPr>
        <w:t xml:space="preserve">5.  </w:t>
      </w:r>
      <w:r>
        <w:rPr>
          <w:rFonts w:ascii="Arial" w:hAnsi="Arial"/>
          <w:color w:val="1E1E1E"/>
          <w:sz w:val="19"/>
        </w:rPr>
        <w:t>Document the verification results in the PM work order in ServiceGrid, including torque check readings and any observations. Sign off the work order to close the task.</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