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Waterjet Garnet Feed Rate Calibration and Nozzle Replacement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abrasive garnet feed rate to the OEM-specified flow (typically 0.5–1.5 lb/min depending on orifice size) and replace the mixing tube (nozzle) when bore wear exceeds 0.010 inches or cut quality degrades. Proper calibration ensures consistent kerf width, reduces abrasive consumption, and prevents premature wear on the mixing tube and focusing tube. This PM is to be performed every 200 operating hours or whenever cut quality degrades,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waterjet pump and control cabinet. Apply personal lock and tag.</w:t>
              <w:br/>
            </w:r>
            <w:r>
              <w:rPr>
                <w:rFonts w:ascii="Arial" w:hAnsi="Arial"/>
                <w:color w:val="1E1E1E"/>
                <w:sz w:val="19"/>
              </w:rPr>
              <w:t>•  Pneumatic Isolation: Close the compressed air supply valve to the garnet hopper and bleed residual pressure from the regulator.</w:t>
              <w:br/>
            </w:r>
            <w:r>
              <w:rPr>
                <w:rFonts w:ascii="Arial" w:hAnsi="Arial"/>
                <w:color w:val="1E1E1E"/>
                <w:sz w:val="19"/>
              </w:rPr>
              <w:t>•  Hydraulic Isolation: Ensure the high-pressure water line is fully depressurized (verify pressure gauge reads 0 psi). Open the bleed valve on the pump discharge.</w:t>
              <w:br/>
            </w:r>
            <w:r>
              <w:rPr>
                <w:rFonts w:ascii="Arial" w:hAnsi="Arial"/>
                <w:color w:val="1E1E1E"/>
                <w:sz w:val="19"/>
              </w:rPr>
              <w:t>•  PPE Requirements: Wear safety glasses, cut-resistant gloves, and hearing protection. Garnet dust is abrasive; use a NIOSH-approved N95 respirator if handling loose abrasive.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mixing tube (nozzle) – OEM specified size (e.g., 0.030 inch or 0.040 inch bore)</w:t>
      </w:r>
    </w:p>
    <w:p>
      <w:pPr>
        <w:spacing w:after="120"/>
        <w:ind w:left="360"/>
      </w:pPr>
      <w:r>
        <w:rPr>
          <w:rFonts w:ascii="Arial" w:hAnsi="Arial"/>
          <w:color w:val="1E1E1E"/>
          <w:sz w:val="19"/>
        </w:rPr>
        <w:t>▪  Garnet abrasive – 80 mesh (or as specified by OEM)</w:t>
      </w:r>
    </w:p>
    <w:p>
      <w:pPr>
        <w:spacing w:after="120"/>
        <w:ind w:left="360"/>
      </w:pPr>
      <w:r>
        <w:rPr>
          <w:rFonts w:ascii="Arial" w:hAnsi="Arial"/>
          <w:color w:val="1E1E1E"/>
          <w:sz w:val="19"/>
        </w:rPr>
        <w:t>▪  Digital scale – 0.01 gram resolution, capacity 2000 g</w:t>
      </w:r>
    </w:p>
    <w:p>
      <w:pPr>
        <w:spacing w:after="120"/>
        <w:ind w:left="360"/>
      </w:pPr>
      <w:r>
        <w:rPr>
          <w:rFonts w:ascii="Arial" w:hAnsi="Arial"/>
          <w:color w:val="1E1E1E"/>
          <w:sz w:val="19"/>
        </w:rPr>
        <w:t>▪  Calibrated container (e.g., 1-liter graduated beaker)</w:t>
      </w:r>
    </w:p>
    <w:p>
      <w:pPr>
        <w:spacing w:after="120"/>
        <w:ind w:left="360"/>
      </w:pPr>
      <w:r>
        <w:rPr>
          <w:rFonts w:ascii="Arial" w:hAnsi="Arial"/>
          <w:color w:val="1E1E1E"/>
          <w:sz w:val="19"/>
        </w:rPr>
        <w:t>▪  Nozzle wrench or appropriate spanner (size per OEM)</w:t>
      </w:r>
    </w:p>
    <w:p>
      <w:pPr>
        <w:spacing w:after="120"/>
        <w:ind w:left="360"/>
      </w:pPr>
      <w:r>
        <w:rPr>
          <w:rFonts w:ascii="Arial" w:hAnsi="Arial"/>
          <w:color w:val="1E1E1E"/>
          <w:sz w:val="19"/>
        </w:rPr>
        <w:t>▪  Torque wrench – 0–50 in-lb range</w:t>
      </w:r>
    </w:p>
    <w:p>
      <w:pPr>
        <w:spacing w:after="120"/>
        <w:ind w:left="360"/>
      </w:pPr>
      <w:r>
        <w:rPr>
          <w:rFonts w:ascii="Arial" w:hAnsi="Arial"/>
          <w:color w:val="1E1E1E"/>
          <w:sz w:val="19"/>
        </w:rPr>
        <w:t>▪  Dial caliper – 0.001 inch resolution</w:t>
      </w:r>
    </w:p>
    <w:p>
      <w:pPr>
        <w:spacing w:after="120"/>
        <w:ind w:left="360"/>
      </w:pPr>
      <w:r>
        <w:rPr>
          <w:rFonts w:ascii="Arial" w:hAnsi="Arial"/>
          <w:color w:val="1E1E1E"/>
          <w:sz w:val="19"/>
        </w:rPr>
        <w:t>▪  Small brush or compressed air gun for cleaning</w:t>
      </w:r>
    </w:p>
    <w:p>
      <w:pPr>
        <w:spacing w:after="120"/>
        <w:ind w:left="360"/>
      </w:pPr>
      <w:r>
        <w:rPr>
          <w:rFonts w:ascii="Arial" w:hAnsi="Arial"/>
          <w:color w:val="1E1E1E"/>
          <w:sz w:val="19"/>
        </w:rPr>
        <w:t>▪  Lint-free cloths</w:t>
      </w:r>
    </w:p>
    <w:p>
      <w:pPr>
        <w:spacing w:after="120"/>
        <w:ind w:left="360"/>
      </w:pPr>
      <w:r>
        <w:rPr>
          <w:rFonts w:ascii="Arial" w:hAnsi="Arial"/>
          <w:color w:val="1E1E1E"/>
          <w:sz w:val="19"/>
        </w:rPr>
        <w:t>▪  ServiceGrid mobile device or paper work order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zero pressure on the high-pressure gauge and zero air pressure on the hopper regulator.</w:t>
      </w:r>
    </w:p>
    <w:p>
      <w:pPr>
        <w:spacing w:after="120"/>
        <w:ind w:left="288"/>
      </w:pPr>
      <w:r>
        <w:rPr>
          <w:rFonts w:ascii="Arial" w:hAnsi="Arial"/>
          <w:b/>
          <w:color w:val="7C8DB0"/>
        </w:rPr>
        <w:t xml:space="preserve">2.  </w:t>
      </w:r>
      <w:r>
        <w:rPr>
          <w:rFonts w:ascii="Arial" w:hAnsi="Arial"/>
          <w:color w:val="1E1E1E"/>
          <w:sz w:val="19"/>
        </w:rPr>
        <w:t>Remove the existing mixing tube assembly using the nozzle wrench. Inspect the bore with a dial caliper; if bore diameter exceeds OEM tolerance (typically +0.010 inch over nominal), discard and replace with a new mixing tube.</w:t>
      </w:r>
    </w:p>
    <w:p>
      <w:pPr>
        <w:spacing w:after="120"/>
        <w:ind w:left="288"/>
      </w:pPr>
      <w:r>
        <w:rPr>
          <w:rFonts w:ascii="Arial" w:hAnsi="Arial"/>
          <w:b/>
          <w:color w:val="7C8DB0"/>
        </w:rPr>
        <w:t xml:space="preserve">3.  </w:t>
      </w:r>
      <w:r>
        <w:rPr>
          <w:rFonts w:ascii="Arial" w:hAnsi="Arial"/>
          <w:color w:val="1E1E1E"/>
          <w:sz w:val="19"/>
        </w:rPr>
        <w:t>Clean the mounting threads and sealing surfaces on the cutting head with a lint-free cloth and compressed air. Ensure no garnet residue remains.</w:t>
      </w:r>
    </w:p>
    <w:p>
      <w:pPr>
        <w:spacing w:after="120"/>
        <w:ind w:left="288"/>
      </w:pPr>
      <w:r>
        <w:rPr>
          <w:rFonts w:ascii="Arial" w:hAnsi="Arial"/>
          <w:b/>
          <w:color w:val="7C8DB0"/>
        </w:rPr>
        <w:t xml:space="preserve">4.  </w:t>
      </w:r>
      <w:r>
        <w:rPr>
          <w:rFonts w:ascii="Arial" w:hAnsi="Arial"/>
          <w:color w:val="1E1E1E"/>
          <w:sz w:val="19"/>
        </w:rPr>
        <w:t>Install the new mixing tube. Hand-tighten until snug, then torque to OEM specification (e.g., 25 in-lb). Do not overtighten.</w:t>
      </w:r>
    </w:p>
    <w:p>
      <w:pPr>
        <w:spacing w:after="120"/>
        <w:ind w:left="288"/>
      </w:pPr>
      <w:r>
        <w:rPr>
          <w:rFonts w:ascii="Arial" w:hAnsi="Arial"/>
          <w:b/>
          <w:color w:val="7C8DB0"/>
        </w:rPr>
        <w:t xml:space="preserve">5.  </w:t>
      </w:r>
      <w:r>
        <w:rPr>
          <w:rFonts w:ascii="Arial" w:hAnsi="Arial"/>
          <w:color w:val="1E1E1E"/>
          <w:sz w:val="19"/>
        </w:rPr>
        <w:t>Reconnect the garnet feed hose to the hopper outlet. Ensure the hose is not kinked and the hopper lid is sealed.</w:t>
      </w:r>
    </w:p>
    <w:p>
      <w:pPr>
        <w:spacing w:after="120"/>
        <w:ind w:left="288"/>
      </w:pPr>
      <w:r>
        <w:rPr>
          <w:rFonts w:ascii="Arial" w:hAnsi="Arial"/>
          <w:b/>
          <w:color w:val="7C8DB0"/>
        </w:rPr>
        <w:t xml:space="preserve">6.  </w:t>
      </w:r>
      <w:r>
        <w:rPr>
          <w:rFonts w:ascii="Arial" w:hAnsi="Arial"/>
          <w:color w:val="1E1E1E"/>
          <w:sz w:val="19"/>
        </w:rPr>
        <w:t>Fill the hopper with fresh 80-mesh garnet to at least 50% capacity. Close and latch the lid.</w:t>
      </w:r>
    </w:p>
    <w:p>
      <w:pPr>
        <w:spacing w:after="120"/>
        <w:ind w:left="288"/>
      </w:pPr>
      <w:r>
        <w:rPr>
          <w:rFonts w:ascii="Arial" w:hAnsi="Arial"/>
          <w:b/>
          <w:color w:val="7C8DB0"/>
        </w:rPr>
        <w:t xml:space="preserve">7.  </w:t>
      </w:r>
      <w:r>
        <w:rPr>
          <w:rFonts w:ascii="Arial" w:hAnsi="Arial"/>
          <w:color w:val="1E1E1E"/>
          <w:sz w:val="19"/>
        </w:rPr>
        <w:t>Open the compressed air supply valve to the hopper. Set the regulator to the OEM-recommended pressure (typically 5–15 psi).</w:t>
      </w:r>
    </w:p>
    <w:p>
      <w:pPr>
        <w:spacing w:after="120"/>
        <w:ind w:left="288"/>
      </w:pPr>
      <w:r>
        <w:rPr>
          <w:rFonts w:ascii="Arial" w:hAnsi="Arial"/>
          <w:b/>
          <w:color w:val="7C8DB0"/>
        </w:rPr>
        <w:t xml:space="preserve">8.  </w:t>
      </w:r>
      <w:r>
        <w:rPr>
          <w:rFonts w:ascii="Arial" w:hAnsi="Arial"/>
          <w:color w:val="1E1E1E"/>
          <w:sz w:val="19"/>
        </w:rPr>
        <w:t>Place a calibrated container under the mixing tube outlet. Actuate the garnet feed valve manually (or via the control pendant) for exactly 60 seconds. Collect the garnet in the container.</w:t>
      </w:r>
    </w:p>
    <w:p>
      <w:pPr>
        <w:spacing w:after="120"/>
        <w:ind w:left="288"/>
      </w:pPr>
      <w:r>
        <w:rPr>
          <w:rFonts w:ascii="Arial" w:hAnsi="Arial"/>
          <w:b/>
          <w:color w:val="7C8DB0"/>
        </w:rPr>
        <w:t xml:space="preserve">9.  </w:t>
      </w:r>
      <w:r>
        <w:rPr>
          <w:rFonts w:ascii="Arial" w:hAnsi="Arial"/>
          <w:color w:val="1E1E1E"/>
          <w:sz w:val="19"/>
        </w:rPr>
        <w:t>Weigh the collected garnet on the digital scale. Calculate the feed rate: weight (grams) / 60 seconds = grams per second. Convert to lb/min (1 lb = 453.6 g). Compare to OEM specification (e.g., 0.8–1.2 lb/min).</w:t>
      </w:r>
    </w:p>
    <w:p>
      <w:pPr>
        <w:spacing w:after="120"/>
        <w:ind w:left="288"/>
      </w:pPr>
      <w:r>
        <w:rPr>
          <w:rFonts w:ascii="Arial" w:hAnsi="Arial"/>
          <w:b/>
          <w:color w:val="7C8DB0"/>
        </w:rPr>
        <w:t xml:space="preserve">10.  </w:t>
      </w:r>
      <w:r>
        <w:rPr>
          <w:rFonts w:ascii="Arial" w:hAnsi="Arial"/>
          <w:color w:val="1E1E1E"/>
          <w:sz w:val="19"/>
        </w:rPr>
        <w:t>If the feed rate is outside tolerance, adjust the air regulator pressure in 1-psi increments and repeat step 8 until the rate falls within spec. If unable to achieve spec, inspect the feed hose for blockages or the hopper for bridging.</w:t>
      </w:r>
    </w:p>
    <w:p>
      <w:pPr>
        <w:spacing w:after="120"/>
        <w:ind w:left="288"/>
      </w:pPr>
      <w:r>
        <w:rPr>
          <w:rFonts w:ascii="Arial" w:hAnsi="Arial"/>
          <w:b/>
          <w:color w:val="7C8DB0"/>
        </w:rPr>
        <w:t xml:space="preserve">11.  </w:t>
      </w:r>
      <w:r>
        <w:rPr>
          <w:rFonts w:ascii="Arial" w:hAnsi="Arial"/>
          <w:color w:val="1E1E1E"/>
          <w:sz w:val="19"/>
        </w:rPr>
        <w:t>Once feed rate is calibrated, close the garnet feed valve. Remove the container and discard the collected garnet (do not reuse).</w:t>
      </w:r>
    </w:p>
    <w:p>
      <w:pPr>
        <w:spacing w:after="120"/>
        <w:ind w:left="288"/>
      </w:pPr>
      <w:r>
        <w:rPr>
          <w:rFonts w:ascii="Arial" w:hAnsi="Arial"/>
          <w:b/>
          <w:color w:val="7C8DB0"/>
        </w:rPr>
        <w:t xml:space="preserve">12.  </w:t>
      </w:r>
      <w:r>
        <w:rPr>
          <w:rFonts w:ascii="Arial" w:hAnsi="Arial"/>
          <w:color w:val="1E1E1E"/>
          <w:sz w:val="19"/>
        </w:rPr>
        <w:t>Reconnect all hoses and ensure the cutting head is properly aligned. Remove LOTO devices and restore power to the pump and control cabinet.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test cut on a scrap piece of the same material and thickness as typical production parts. Use standard cutting parameters.</w:t>
      </w:r>
    </w:p>
    <w:p>
      <w:pPr>
        <w:spacing w:after="120"/>
        <w:ind w:left="288"/>
      </w:pPr>
      <w:r>
        <w:rPr>
          <w:rFonts w:ascii="Arial" w:hAnsi="Arial"/>
          <w:b/>
          <w:color w:val="7C8DB0"/>
        </w:rPr>
        <w:t xml:space="preserve">2.  </w:t>
      </w:r>
      <w:r>
        <w:rPr>
          <w:rFonts w:ascii="Arial" w:hAnsi="Arial"/>
          <w:color w:val="1E1E1E"/>
          <w:sz w:val="19"/>
        </w:rPr>
        <w:t>Inspect the cut edge for taper, striations, or burrs. The kerf should be uniform and within 0.005 inch of the expected width.</w:t>
      </w:r>
    </w:p>
    <w:p>
      <w:pPr>
        <w:spacing w:after="120"/>
        <w:ind w:left="288"/>
      </w:pPr>
      <w:r>
        <w:rPr>
          <w:rFonts w:ascii="Arial" w:hAnsi="Arial"/>
          <w:b/>
          <w:color w:val="7C8DB0"/>
        </w:rPr>
        <w:t xml:space="preserve">3.  </w:t>
      </w:r>
      <w:r>
        <w:rPr>
          <w:rFonts w:ascii="Arial" w:hAnsi="Arial"/>
          <w:color w:val="1E1E1E"/>
          <w:sz w:val="19"/>
        </w:rPr>
        <w:t>Measure the cut surface roughness with a profilometer if available; should be within OEM limits (e.g., Ra &lt; 250 microinches).</w:t>
      </w:r>
    </w:p>
    <w:p>
      <w:pPr>
        <w:spacing w:after="120"/>
        <w:ind w:left="288"/>
      </w:pPr>
      <w:r>
        <w:rPr>
          <w:rFonts w:ascii="Arial" w:hAnsi="Arial"/>
          <w:b/>
          <w:color w:val="7C8DB0"/>
        </w:rPr>
        <w:t xml:space="preserve">4.  </w:t>
      </w:r>
      <w:r>
        <w:rPr>
          <w:rFonts w:ascii="Arial" w:hAnsi="Arial"/>
          <w:color w:val="1E1E1E"/>
          <w:sz w:val="19"/>
        </w:rPr>
        <w:t>If cut quality is acceptable, sign off on the PM work order in ServiceGrid, noting the new feed rate value and mixing tube serial number.</w:t>
      </w:r>
    </w:p>
    <w:p>
      <w:pPr>
        <w:spacing w:after="120"/>
        <w:ind w:left="288"/>
      </w:pPr>
      <w:r>
        <w:rPr>
          <w:rFonts w:ascii="Arial" w:hAnsi="Arial"/>
          <w:b/>
          <w:color w:val="7C8DB0"/>
        </w:rPr>
        <w:t xml:space="preserve">5.  </w:t>
      </w:r>
      <w:r>
        <w:rPr>
          <w:rFonts w:ascii="Arial" w:hAnsi="Arial"/>
          <w:color w:val="1E1E1E"/>
          <w:sz w:val="19"/>
        </w:rPr>
        <w:t>If cut quality is not acceptable, re-check mixing tube torque, feed rate calibration, and orifice condition. Escalate to maintenance supervisor if issue persists.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