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100% Silicone Sealant –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100% silicone sealant is a one-component, moisture-curing, elastomeric sealant composed primarily of polydimethylsiloxane (PDMS) polymers, crosslinkers, and reinforcing fillers. It contains no solvents, urethanes, or acrylics, and cures by reacting with atmospheric humidity to form a flexible, durable rubber seal.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Primary applications include sealing joints in building envelopes (windows, doors, curtain walls), sanitary sealing in kitchens and bathrooms, bonding and sealing in HVAC ductwork, and gasketing in electrical enclosures.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Commonly used in automotive assembly for weatherstripping and windshield bonding, and in marine applications for above-waterline sealing.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Available in neutral cure (non-corrosive to metals) and acetoxy cure (releases acetic acid, not for use on copper, brass, or natural stone).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 (uncured): 1.02 – 1.05 g/cm³ at 25°C.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Tensile strength (cured): 1.5 – 2.5 MPa (ASTM D412).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Elongation at break: 300 – 600% (ASTM D412).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Hardness (Shore A): 20 – 30 (ASTM D2240).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Service temperature range: -50°C to +200°C continuous, intermittent up to 250°C.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Tack-free time: 10 – 30 minutes at 23°C / 50% RH (varies by formulation).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Full cure time: 24 hours per 3 mm depth at 23°C / 50% RH.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packaging: 300 ml cartridges (plastic or aluminum), 600 ml sausage packs, 20 L pails, and 200 L drums.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Shelf life: 12 months from date of manufacture when stored below 30°C.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100% silicone sealant is applied using manual or pneumatic caulking guns, bulk dispensing equipment, or robotic applicators. Surface preparation is critical for adhesion: substrates must be clean, dry, and free of oil, grease, dust, and loose particles. Priming is required on porous substrates (concrete, masonry, wood) and some plastics.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Application temperature range: +5°C to +40°C (substrate and ambient). Do not apply below dew point.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Tooling must be completed within 5 minutes of application using a spatula or tooling agent (soapy water or isopropyl alcohol).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For structural glazing applications, use only neutral-cure silicone with documented adhesion testing per ASTM C1135.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Do not thin or dilute with solvents; this will compromise cure and mechanical properties.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For thick-section applications (&gt; 10 mm depth), use a two-part silicone system to ensure complete cure.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Cured silicone can be cut with a sharp knife or razor blade; it cannot be sanded or machined effectively.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sealant has visible skinning or partial cure inside the cartridge (indicates cap failure or age degradation).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sealant exhibits phase separation (liquid exudate on surface) or excessive oil bleed-out.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cured sealant shows cracking, cohesive failure, or adhesion loss within 7 days of application under standard conditions.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uncured sealant has lumps, grittiness, or foreign particles visible to the naked eye.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Acceptable joint dimensions: width-to-depth ratio between 2:1 and 3:1 for dynamic joints; maximum depth 12 mm for single-stage application.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Perform adhesion pull-off test per ASTM C794 on representative substrate samples before production runs.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in a cool, dry area below 30°C and out of direct sunlight. Do not freeze (some formulations may be damaged below 5°C).</w:t>
              <w:br/>
            </w:r>
            <w:r>
              <w:rPr>
                <w:rFonts w:ascii="Arial" w:hAnsi="Arial"/>
                <w:color w:val="1E1E1E"/>
                <w:sz w:val="19"/>
              </w:rPr>
              <w:t>•  Maintain relative humidity below 70% in storage area to prevent premature curing of opened containers.</w:t>
              <w:br/>
            </w:r>
            <w:r>
              <w:rPr>
                <w:rFonts w:ascii="Arial" w:hAnsi="Arial"/>
                <w:color w:val="1E1E1E"/>
                <w:sz w:val="19"/>
              </w:rPr>
              <w:t>•  Follow FIFO (First-In, First-Out) inventory rotation; shelf life is 12 months from date of manufacture.</w:t>
              <w:br/>
            </w:r>
            <w:r>
              <w:rPr>
                <w:rFonts w:ascii="Arial" w:hAnsi="Arial"/>
                <w:color w:val="1E1E1E"/>
                <w:sz w:val="19"/>
              </w:rPr>
              <w:t>•  WHMIS 2015 Classification: Not classified as hazardous under normal use. However, acetoxy-cure formulations release acetic acid vapour during cure – use in well-ventilated areas.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Wear nitrile gloves to prevent skin contact; safety glasses recommended during application. If skin contact occurs, wash with soap and water.</w:t>
              <w:br/>
            </w:r>
            <w:r>
              <w:rPr>
                <w:rFonts w:ascii="Arial" w:hAnsi="Arial"/>
                <w:color w:val="1E1E1E"/>
                <w:sz w:val="19"/>
              </w:rPr>
              <w:t>•  In case of eye contact, flush with water for 15 minutes and seek medical attention.</w:t>
              <w:br/>
            </w:r>
            <w:r>
              <w:rPr>
                <w:rFonts w:ascii="Arial" w:hAnsi="Arial"/>
                <w:color w:val="1E1E1E"/>
                <w:sz w:val="19"/>
              </w:rPr>
              <w:t>•  Dispose of cured silicone as non-hazardous industrial waste per local regulations. Uncured material should be cured before disposal.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