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200"/>
        <w:gridCol w:w="3600"/>
      </w:tblGrid>
      <w:tr>
        <w:tc>
          <w:tcPr>
            <w:tcW w:type="dxa" w:w="5400"/>
          </w:tcPr>
          <w:p>
            <w:r>
              <w:rPr>
                <w:rFonts w:ascii="Arial" w:hAnsi="Arial"/>
                <w:b/>
                <w:color w:val="1A9E9E"/>
                <w:sz w:val="22"/>
              </w:rPr>
              <w:t>[ INSERT YOUR COMPANY NAME HERE ]</w:t>
              <w:br/>
            </w:r>
            <w:r>
              <w:rPr>
                <w:rFonts w:ascii="Arial" w:hAnsi="Arial"/>
                <w:color w:val="787878"/>
                <w:sz w:val="19"/>
              </w:rPr>
              <w:t>Technical Material Specification</w:t>
            </w:r>
          </w:p>
        </w:tc>
        <w:tc>
          <w:tcPr>
            <w:tcW w:type="dxa" w:w="5400"/>
          </w:tcPr>
          <w:p>
            <w:pPr>
              <w:jc w:val="right"/>
            </w:pPr>
            <w:r>
              <w:rPr>
                <w:rFonts w:ascii="Arial" w:hAnsi="Arial"/>
                <w:color w:val="787878"/>
                <w:sz w:val="18"/>
              </w:rPr>
              <w:t>Created By: ____________________</w:t>
              <w:br/>
              <w:t>Verified By: ____________________</w:t>
              <w:br/>
              <w:t>Version: 1.0</w:t>
            </w:r>
          </w:p>
        </w:tc>
      </w:tr>
    </w:tbl>
    <w:p>
      <w:pPr>
        <w:spacing w:after="280"/>
        <w:pBdr>
          <w:bottom w:val="single" w:sz="8" w:space="8" w:color="1A9E9E"/>
        </w:pBdr>
      </w:pPr>
    </w:p>
    <w:p>
      <w:pPr>
        <w:spacing w:after="240"/>
      </w:pPr>
      <w:r>
        <w:rPr>
          <w:rFonts w:ascii="Arial" w:hAnsi="Arial"/>
          <w:b/>
          <w:color w:val="1E1E1E"/>
          <w:sz w:val="30"/>
        </w:rPr>
        <w:t>17-4 PH Precipitation Hardening Stainless Steel: Technical Material Specification</w:t>
      </w:r>
    </w:p>
    <w:p>
      <w:r>
        <w:rPr>
          <w:rFonts w:ascii="Arial" w:hAnsi="Arial"/>
          <w:b/>
          <w:color w:val="1A9E9E"/>
          <w:sz w:val="22"/>
        </w:rPr>
        <w:t>1.0 Material Overview &amp; Common Uses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17-4 PH (UNS S17400) is a martensitic precipitation-hardening stainless steel that combines high strength, good corrosion resistance, and excellent toughness up to 600°F (316°C). It is supplied in the solution-annealed Condition A and then aged to achieve desired mechanical properties. Common applications include aerospace components, chemical processing equipment, nuclear reactor parts, oil and gas valves, pump shafts, and high-strength fasteners.</w:t>
      </w:r>
    </w:p>
    <w:p>
      <w:r>
        <w:rPr>
          <w:rFonts w:ascii="Arial" w:hAnsi="Arial"/>
          <w:b/>
          <w:color w:val="1A9E9E"/>
          <w:sz w:val="22"/>
        </w:rPr>
        <w:t>2.0 Core Technical Properties &amp; Sizing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Density: 7.80 g/cm³ (0.282 lb/in³)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Melting Range: 2560–2625°F (1404–1440°C)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Tensile Strength (Condition H900): 190 ksi (1310 MPa) minimum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Yield Strength (Condition H900): 170 ksi (1170 MPa) minimum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Elongation (Condition H900): 10% minimum in 2 inches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Hardness (Condition H900): 40–47 HRC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Hardness (Condition A, annealed): 30–33 HRC maximum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Modulus of Elasticity: 29.0 × 10⁶ psi (200 GPa)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Thermal Conductivity: 10.6 BTU-in/hr-ft²-°F (1.53 W/m·K) at 212°F (100°C)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Coefficient of Thermal Expansion: 6.0 × 10⁻⁶ in/in/°F (10.8 × 10⁻⁶ m/m/°C) from 70–600°F (21–316°C)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Electrical Resistivity: 44.0 μΩ·cm at 70°F (21°C)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Standard Forms: Round bar (1/8 to 12 inch diameter), flat bar, plate, sheet, and forging billet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Diameter Tolerance (cold-finished round bar): ±0.002 inch for diameters up to 1 inch; ±0.003 inch for 1–2 inch; ±0.005 inch for 2–4 inch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Length Tolerance: +1/8 inch, -0 inch for random mill lengths; custom lengths per order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Straightness Tolerance: 1/16 inch in any 4 feet (0.0013 inch per inch)</w:t>
      </w:r>
    </w:p>
    <w:p>
      <w:r>
        <w:rPr>
          <w:rFonts w:ascii="Arial" w:hAnsi="Arial"/>
          <w:b/>
          <w:color w:val="1A9E9E"/>
          <w:sz w:val="22"/>
        </w:rPr>
        <w:t>3.0 Processing, Machinability &amp; Application</w:t>
      </w:r>
    </w:p>
    <w:p>
      <w:pPr>
        <w:spacing w:after="120"/>
        <w:ind w:left="216"/>
      </w:pPr>
      <w:r>
        <w:rPr>
          <w:rFonts w:ascii="Arial" w:hAnsi="Arial"/>
          <w:color w:val="1E1E1E"/>
          <w:sz w:val="19"/>
        </w:rPr>
        <w:t>17-4 PH is machinable in the solution-annealed Condition A (hardness &lt;33 HRC) and becomes more difficult to machine after aging (H900–H1150). Use carbide tooling with positive rake angles and flood coolant for all operations. For turning, use coated carbide inserts with a feed rate of 0.005–0.015 inch/rev and cutting speed of 150–250 SFM in Condition A, reducing to 100–150 SFM in H900. For milling, use 4-flute carbide end mills at 0.002–0.006 inch/tooth feed and 200–300 SFM in Condition A. Drilling requires high-speed cobalt or carbide drills with a 118–135° point angle and peck cycles to break chips. Tapping is difficult; use roll-form taps in Condition A or thread milling after aging. Welding is possible with AWS E630 or ER630 filler metal; preheat to 300–400°F (149–204°C) and post-weld solution anneal at 1900°F (1038°C) for 30 minutes, then age per required condition. Heat treatment: solution anneal at 1900°F (1038°C) for 30 minutes, air cool to below 90°F (32°C); age at 900°F (482°C) for 1 hour (H900), 925°F (496°C) for 4 hours (H925), 1025°F (552°C) for 4 hours (H1025), 1075°F (579°C) for 4 hours (H1075), or 1150°F (621°C) for 4 hours (H1150). All aging is followed by air cooling. Stress relieving is not recommended due to risk of over-aging.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Use coated carbide inserts (C2–C5 grade) for turning and facing.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Maintain flood coolant concentration at 8–12% soluble oil for optimal heat dissipation.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Avoid work hardening by using consistent feed rates and sharp tooling.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For grinding, use aluminum oxide or CBN wheels with a soft bond and open structure.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EDM (sinker or wire) is suitable; use deionized water dielectric and low power settings to minimize recast layer.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Chemical milling or etching is possible with ferric chloride or nitric-hydrofluoric acid solutions.</w:t>
      </w:r>
    </w:p>
    <w:p>
      <w:r>
        <w:rPr>
          <w:rFonts w:ascii="Arial" w:hAnsi="Arial"/>
          <w:b/>
          <w:color w:val="1A9E9E"/>
          <w:sz w:val="22"/>
        </w:rPr>
        <w:t>4.0 Common Defects &amp; Quality Control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surface cracks or seams are visible under 10x magnification after etching with 10% oxalic acid.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surface pitting exceeds 0.005 inch (0.13 mm) depth or 0.030 inch (0.76 mm) diameter.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decarburization depth exceeds 0.010 inch (0.25 mm) per side on bar stock.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out-of-roundness exceeds 50% of diameter tolerance.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straightness exceeds 1/8 inch in any 4 feet (0.0026 inch per inch).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hardness after aging deviates more than ±2 HRC from specified condition.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tensile strength or yield strength is below minimum for specified condition per ASTM A564.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elongation is below 10% in Condition H900 or below 14% in Condition H1150.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non-metallic inclusions exceed ASTM E45 Plate A rating of 2.0 for thin/heavy series.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grain size is coarser than ASTM No. 5 per ASTM E112.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delta ferrite content exceeds 5% per magnetic measurement or metallographic examination.</w:t>
      </w:r>
    </w:p>
    <w:p>
      <w:pPr>
        <w:spacing w:after="120"/>
        <w:ind w:left="360"/>
      </w:pPr>
      <w:r>
        <w:rPr>
          <w:rFonts w:ascii="Arial" w:hAnsi="Arial"/>
          <w:color w:val="1E1E1E"/>
          <w:sz w:val="19"/>
        </w:rPr>
        <w:t>▪  Reject if intergranular corrosion is detected per ASTM A262 Practice E (if specified).</w:t>
      </w:r>
    </w:p>
    <w:p>
      <w:r>
        <w:rPr>
          <w:rFonts w:ascii="Arial" w:hAnsi="Arial"/>
          <w:b/>
          <w:color w:val="1A9E9E"/>
          <w:sz w:val="22"/>
        </w:rPr>
        <w:t>5.0 Storage, Handling &amp; WHMIS Guidelines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800"/>
      </w:tblGrid>
      <w:tr>
        <w:tc>
          <w:tcPr>
            <w:tcW w:type="dxa" w:w="10800"/>
            <w:shd w:fill="F4F5F7"/>
            <w:tcMar>
              <w:top w:w="140" w:type="dxa"/>
              <w:bottom w:w="140" w:type="dxa"/>
              <w:left w:w="180" w:type="dxa"/>
              <w:right w:w="180" w:type="dxa"/>
            </w:tcMar>
            <w:tcBorders>
              <w:left w:val="single" w:sz="24" w:space="0" w:color="EF4444"/>
              <w:top w:val="none"/>
              <w:right w:val="none"/>
              <w:bottom w:val="none"/>
            </w:tcBorders>
          </w:tcPr>
          <w:p>
            <w:pPr>
              <w:spacing w:after="0"/>
            </w:pPr>
            <w:r>
              <w:rPr>
                <w:rFonts w:ascii="Arial" w:hAnsi="Arial"/>
                <w:color w:val="1E1E1E"/>
                <w:sz w:val="19"/>
              </w:rPr>
              <w:t>•  Store in a dry, indoor environment with relative humidity below 60% to prevent surface oxidation.</w:t>
              <w:br/>
            </w:r>
            <w:r>
              <w:rPr>
                <w:rFonts w:ascii="Arial" w:hAnsi="Arial"/>
                <w:color w:val="1E1E1E"/>
                <w:sz w:val="19"/>
              </w:rPr>
              <w:t>•  Maintain temperature between 10–30°C (50–86°F) to avoid condensation on cold metal.</w:t>
              <w:br/>
            </w:r>
            <w:r>
              <w:rPr>
                <w:rFonts w:ascii="Arial" w:hAnsi="Arial"/>
                <w:color w:val="1E1E1E"/>
                <w:sz w:val="19"/>
              </w:rPr>
              <w:t>•  Shelf life is indefinite under proper storage; use FIFO to avoid prolonged exposure to contaminants.</w:t>
              <w:br/>
            </w:r>
            <w:r>
              <w:rPr>
                <w:rFonts w:ascii="Arial" w:hAnsi="Arial"/>
                <w:color w:val="1E1E1E"/>
                <w:sz w:val="19"/>
              </w:rPr>
              <w:t>•  Separate from carbon steel and other non-stainless materials to prevent cross-contamination and galvanic corrosion.</w:t>
              <w:br/>
            </w:r>
            <w:r>
              <w:rPr>
                <w:rFonts w:ascii="Arial" w:hAnsi="Arial"/>
                <w:color w:val="1E1E1E"/>
                <w:sz w:val="19"/>
              </w:rPr>
              <w:t>•  Use protective paper or plastic interleaving between stacked sheets or bars.</w:t>
              <w:br/>
            </w:r>
            <w:r>
              <w:rPr>
                <w:rFonts w:ascii="Arial" w:hAnsi="Arial"/>
                <w:color w:val="1E1E1E"/>
                <w:sz w:val="19"/>
              </w:rPr>
              <w:t>•  WHMIS Classification: Not classified as hazardous under WHMIS 2015 for solid form. Dust or fines from machining may be classified as a nuisance particulate.</w:t>
              <w:br/>
            </w:r>
            <w:r>
              <w:rPr>
                <w:rFonts w:ascii="Arial" w:hAnsi="Arial"/>
                <w:color w:val="1E1E1E"/>
                <w:sz w:val="19"/>
              </w:rPr>
              <w:t>•  Hazard Statements: H315 (Causes skin irritation) for prolonged contact with cutting fluids; H319 (Causes serious eye irritation) for coolant splash.</w:t>
              <w:br/>
            </w:r>
            <w:r>
              <w:rPr>
                <w:rFonts w:ascii="Arial" w:hAnsi="Arial"/>
                <w:color w:val="1E1E1E"/>
                <w:sz w:val="19"/>
              </w:rPr>
              <w:t>•  Precautionary Statements: P264 (Wash hands thoroughly after handling); P280 (Wear protective gloves, safety glasses, and protective clothing); P302+P352 (IF ON SKIN: Wash with plenty of soap and water); P305+P351+P338 (IF IN EYES: Rinse cautiously with water for several minutes; remove contact lenses if present and easy to do; continue rinsing).</w:t>
              <w:br/>
            </w:r>
            <w:r>
              <w:rPr>
                <w:rFonts w:ascii="Arial" w:hAnsi="Arial"/>
                <w:color w:val="1E1E1E"/>
                <w:sz w:val="19"/>
              </w:rPr>
              <w:t>•  Mandatory PPE: Cut-resistant gloves (ANSI A4 or higher) when handling sharp edges; safety glasses with side shields; steel-toed boots for heavy sections.</w:t>
              <w:br/>
            </w:r>
            <w:r>
              <w:rPr>
                <w:rFonts w:ascii="Arial" w:hAnsi="Arial"/>
                <w:color w:val="1E1E1E"/>
                <w:sz w:val="19"/>
              </w:rPr>
              <w:t>•  During machining: Use local exhaust ventilation to control airborne dust; wear hearing protection if noise exceeds 85 dBA.</w:t>
              <w:br/>
            </w:r>
            <w:r>
              <w:rPr>
                <w:rFonts w:ascii="Arial" w:hAnsi="Arial"/>
                <w:color w:val="1E1E1E"/>
                <w:sz w:val="19"/>
              </w:rPr>
              <w:t>•  First Aid: For skin contact with coolant, wash with mild soap and water. For eye contact, flush with water for 15 minutes. Seek medical attention if irritation persists.</w:t>
              <w:br/>
            </w:r>
            <w:r>
              <w:rPr>
                <w:rFonts w:ascii="Arial" w:hAnsi="Arial"/>
                <w:color w:val="1E1E1E"/>
                <w:sz w:val="19"/>
              </w:rPr>
              <w:t>•  Spill Procedure: Sweep up solid material and place in labeled container for recycling. For coolant spills, contain with absorbent pads and dispose per local regulations.</w:t>
              <w:br/>
            </w:r>
            <w:r>
              <w:rPr>
                <w:rFonts w:ascii="Arial" w:hAnsi="Arial"/>
                <w:color w:val="1E1E1E"/>
                <w:sz w:val="19"/>
              </w:rPr>
              <w:t>•  Disposal: Scrap metal can be recycled. Coolant and cutting fluids must be disposed as hazardous waste per provincial regulations.</w:t>
            </w:r>
          </w:p>
        </w:tc>
      </w:tr>
    </w:tbl>
    <w:p>
      <w:pPr>
        <w:spacing w:after="240"/>
      </w:pPr>
    </w:p>
    <w:p>
      <w:pPr>
        <w:spacing w:after="280"/>
      </w:pPr>
    </w:p>
    <w:p>
      <w:pPr>
        <w:spacing w:after="0"/>
        <w:jc w:val="both"/>
      </w:pPr>
      <w:r>
        <w:rPr>
          <w:rFonts w:ascii="Arial" w:hAnsi="Arial"/>
          <w:b/>
          <w:color w:val="787878"/>
          <w:sz w:val="15"/>
        </w:rPr>
        <w:t xml:space="preserve">Regulatory Disclaimer: </w:t>
      </w:r>
      <w:r>
        <w:rPr>
          <w:rFonts w:ascii="Arial" w:hAnsi="Arial"/>
          <w:color w:val="787878"/>
          <w:sz w:val="15"/>
        </w:rPr>
        <w:t>This document is a generic technical material specification provided for educational purposes. The end-user assumes all liability for reviewing, adapting, and validating all tolerances, properties, and safety protocols against specific OEM data sheets and local regulations before deployment.</w:t>
      </w:r>
    </w:p>
    <w:sectPr w:rsidR="00FC693F" w:rsidRPr="0006063C" w:rsidSect="00034616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pBdr>
        <w:bottom w:val="single" w:sz="4" w:space="8" w:color="D1D5DB"/>
      </w:pBdr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400"/>
      <w:gridCol w:w="5400"/>
    </w:tblGrid>
    <w:tr>
      <w:tc>
        <w:tcPr>
          <w:tcW w:type="dxa" w:w="5400"/>
        </w:tcPr>
        <w:p>
          <w:r>
            <w:rPr>
              <w:rFonts w:ascii="Arial" w:hAnsi="Arial"/>
              <w:color w:val="787878"/>
              <w:sz w:val="17"/>
            </w:rPr>
            <w:t>SupplyGrid Operations &amp; Inventory</w:t>
          </w:r>
        </w:p>
      </w:tc>
      <w:tc>
        <w:tcPr>
          <w:tcW w:type="dxa" w:w="5400"/>
        </w:tcPr>
        <w:p>
          <w:pPr>
            <w:jc w:val="right"/>
          </w:pPr>
          <w:r>
            <w:rPr>
              <w:rFonts w:ascii="Arial" w:hAnsi="Arial"/>
              <w:b/>
              <w:color w:val="1A9E9E"/>
              <w:sz w:val="17"/>
            </w:rPr>
            <w:t>ryxen.ca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