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A36 Mild Steel Hot Rolled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A36 is a low-carbon mild steel (typically 0.25–0.29% carbon) produced via hot rolling, conforming to ASTM A36 / A36M. It offers good weldability, moderate strength, and excellent formability, making it the most widely used structural steel in North America.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Primary applications: structural beams, columns, bridge components, industrial machinery frames, storage tanks, pressure vessels (low-pressure), and general fabrication.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 product forms: hot-rolled plate (1/8″ to 8″ thick), sheet, flat bar, angle, channel, I-beam, and round/square bar.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Not suitable for high-temperature service (above 400°C) or cryogenic applications due to loss of toughness.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7.85 g/cm³ (0.284 lb/in³)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strength: 400–550 MPa (58–80 ksi)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 (minimum): 250 MPa (36 ksi) for plates ≤ 8″ thick; 220 MPa (32 ksi) for shapes &gt; 8″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in 2″: 20% minimum (for plate ≤ 3/4″ thick)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Hardness: typically 120–140 HB (Brinell) as-rolled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point: approximately 1425–1460°C (2600–2660°F)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Thermal expansion coefficient: 11.7 × 10⁻⁶ /°C (20–100°C)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plate sizes: 48″ × 96″, 48″ × 120″, 60″ × 120″, 72″ × 144″; thickness tolerance per ASTM A6/A6M (e.g., ±0.010″ for 1/4″ plate)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Flatness tolerance: 1/4″ in any 3 ft for plates up to 1/2″ thick (per ASTM A6)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Squareness tolerance: ±1/16″ per foot of width or length for sheared edges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A36 is rated as having good machinability (approximately 70% of free-machining 1212 steel). It produces continuous chips and requires adequate chip control. Carbide tooling is recommended for production runs; high-speed steel (HSS) is acceptable for low-volume work.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Turning: use carbide inserts with a feed rate of 0.008–0.015 in/rev and cutting speed of 250–400 SFM (HSS: 100–150 SFM).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Milling: use 4-flute carbide end mills at 0.002–0.005 in/tooth feed, 250–350 SFM; climb milling preferred to reduce work hardening.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Drilling: use HSS or cobalt twist drills at 50–80 SFM with pecking cycle for holes deeper than 3× diameter; flood coolant recommended.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Welding: excellent weldability with all common processes (SMAW, GMAW, FCAW, GTAW, SAW). No preheat required for thicknesses under 1″; preheat 50–100°C for 1–2″ sections; maintain interpass temperature below 315°C.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Filler metals: ER70S-6 (GMAW), E7018 (SMAW), or E71T-1 (FCAW). No post-weld heat treatment typically required.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Forming: can be cold bent to a minimum radius of 2× thickness for plate up to 1/2″; hot forming at 900–1100°C with slow cooling.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Cutting: plasma, laser, or abrasive waterjet preferred for clean edges; oxy-fuel cutting acceptable for thicknesses above 1/2″.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laminations or seams exceed 0.010″ depth as measured by magnetic particle inspection.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pitting or scale pits exceed 0.005″ depth on any face intended for painting or welding.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edge camber (bow) exceeds 1/4″ in any 10 ft length for bars or shapes.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twist (helical distortion) exceeds 1° per 5 ft for structural shapes.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flatness deviation exceeds 1/4″ in any 3 ft for plates under 1/2″ thick, or 3/8″ in 3 ft for thicker plates.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thickness is below the minimum tolerance per ASTM A6 (e.g., 0.230″ for nominal 1/4″ plate).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chemical analysis shows carbon &gt; 0.29%, manganese &gt; 1.20%, or silicon &gt; 0.40% (per ASTM A36 limits).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tensile strength is below 400 MPa or yield below 250 MPa on certified mill test report.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indoors in a dry, well-ventilated area; relative humidity below 60% to minimize surface rust formation.</w:t>
              <w:br/>
            </w:r>
            <w:r>
              <w:rPr>
                <w:rFonts w:ascii="Arial" w:hAnsi="Arial"/>
                <w:color w:val="1E1E1E"/>
                <w:sz w:val="19"/>
              </w:rPr>
              <w:t>•  If outdoor storage is unavoidable, elevate material on dunnage (minimum 4″ off ground) and cover with breathable tarps; do not use plastic sheeting that traps moisture.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if stored properly; inspect for rust pitting every 6 months and apply light oil or rust inhibitor if needed.</w:t>
              <w:br/>
            </w:r>
            <w:r>
              <w:rPr>
                <w:rFonts w:ascii="Arial" w:hAnsi="Arial"/>
                <w:color w:val="1E1E1E"/>
                <w:sz w:val="19"/>
              </w:rPr>
              <w:t>•  FIFO protocol: rotate stock so that older material is used first; mark receipt date on each bundle or plate.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a hazardous product under WHMIS 2015 in solid form. Dust, fume, or grinding particles may be hazardous.</w:t>
              <w:br/>
            </w:r>
            <w:r>
              <w:rPr>
                <w:rFonts w:ascii="Arial" w:hAnsi="Arial"/>
                <w:color w:val="1E1E1E"/>
                <w:sz w:val="19"/>
              </w:rPr>
              <w:t>•  Hazards during processing: welding fume (manganese, iron oxide) – use local exhaust ventilation; grinding dust – avoid inhalation; sharp edges – cut hazards.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 with side shields, cut-resistant gloves (ANSI A4 or higher), steel-toed boots, and hearing protection when sawing or grinding.</w:t>
              <w:br/>
            </w:r>
            <w:r>
              <w:rPr>
                <w:rFonts w:ascii="Arial" w:hAnsi="Arial"/>
                <w:color w:val="1E1E1E"/>
                <w:sz w:val="19"/>
              </w:rPr>
              <w:t>•  Welding PPE: auto-darkening welding helmet (shade 10–13), flame-resistant jacket, welding gloves, and leather apron.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cuts, clean and bandage; for eye injury from metal chips, flush with water for 15 minutes and seek medical attention.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