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Baltic Birch Plywood (BBB &amp; BBCP Grades)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Baltic Birch Plywood is a high-grade engineered wood panel made from multiple layers (plies) of birch veneer cross-banded and bonded with a phenolic resin adhesive under heat and pressure. It is manufactured to strict European standards (e.g., EN 314-2, EN 635) and is known for its exceptional strength-to-weight ratio, dimensional stability, and void-free core. The 'BBB' grade denotes a face and back veneer of B-grade quality (smooth, sanded, with minor color variation and small, tight knots allowed), while 'BBCP' indicates a B-grade face and a C-grade back with plugged defects (CP = capped or plugged). Both grades are widely used in industrial applications requiring a clean, paintable or stainable surface on at least one side.</w:t>
      </w:r>
    </w:p>
    <w:p>
      <w:pPr>
        <w:spacing w:after="120"/>
        <w:ind w:left="360"/>
      </w:pPr>
      <w:r>
        <w:rPr>
          <w:rFonts w:ascii="Arial" w:hAnsi="Arial"/>
          <w:color w:val="1E1E1E"/>
          <w:sz w:val="19"/>
        </w:rPr>
        <w:t>▪  Common applications include: CNC router cutting for furniture components, cabinetry, shelving, jigs and fixtures, architectural millwork, laser engraving substrates, speaker enclosures, and structural panels in marine and transportation industries.</w:t>
      </w:r>
    </w:p>
    <w:p>
      <w:pPr>
        <w:spacing w:after="120"/>
        <w:ind w:left="360"/>
      </w:pPr>
      <w:r>
        <w:rPr>
          <w:rFonts w:ascii="Arial" w:hAnsi="Arial"/>
          <w:color w:val="1E1E1E"/>
          <w:sz w:val="19"/>
        </w:rPr>
        <w:t>▪  Preferred over standard softwood plywood due to its higher number of thin plies (typically 13 plies in 18mm thickness) which reduces warping and provides superior screw-holding capacity.</w:t>
      </w:r>
    </w:p>
    <w:p>
      <w:pPr>
        <w:spacing w:after="120"/>
        <w:ind w:left="360"/>
      </w:pPr>
      <w:r>
        <w:rPr>
          <w:rFonts w:ascii="Arial" w:hAnsi="Arial"/>
          <w:color w:val="1E1E1E"/>
          <w:sz w:val="19"/>
        </w:rPr>
        <w:t>▪  BBB grade is specified for visible, finished surfaces; BBCP grade is used where one side is hidden or will be painted.</w:t>
      </w:r>
    </w:p>
    <w:p>
      <w:r>
        <w:rPr>
          <w:rFonts w:ascii="Arial" w:hAnsi="Arial"/>
          <w:b/>
          <w:color w:val="1A9E9E"/>
          <w:sz w:val="22"/>
        </w:rPr>
        <w:t>2.0 Core Technical Properties &amp; Sizing</w:t>
      </w:r>
    </w:p>
    <w:p>
      <w:pPr>
        <w:spacing w:after="120"/>
        <w:ind w:left="360"/>
      </w:pPr>
      <w:r>
        <w:rPr>
          <w:rFonts w:ascii="Arial" w:hAnsi="Arial"/>
          <w:color w:val="1E1E1E"/>
          <w:sz w:val="19"/>
        </w:rPr>
        <w:t>▪  Standard panel dimensions: 1525 mm x 1525 mm (5 ft x 5 ft) and 1220 mm x 2440 mm (4 ft x 8 ft).</w:t>
      </w:r>
    </w:p>
    <w:p>
      <w:pPr>
        <w:spacing w:after="120"/>
        <w:ind w:left="360"/>
      </w:pPr>
      <w:r>
        <w:rPr>
          <w:rFonts w:ascii="Arial" w:hAnsi="Arial"/>
          <w:color w:val="1E1E1E"/>
          <w:sz w:val="19"/>
        </w:rPr>
        <w:t>▪  Common thicknesses (nominal): 3 mm, 6 mm, 9 mm, 12 mm, 15 mm, 18 mm, 21 mm, 24 mm, 30 mm. Tolerance: ±0.2 mm for ≤6 mm, ±0.3 mm for 9–15 mm, ±0.4 mm for 18–24 mm, ±0.5 mm for 30 mm.</w:t>
      </w:r>
    </w:p>
    <w:p>
      <w:pPr>
        <w:spacing w:after="120"/>
        <w:ind w:left="360"/>
      </w:pPr>
      <w:r>
        <w:rPr>
          <w:rFonts w:ascii="Arial" w:hAnsi="Arial"/>
          <w:color w:val="1E1E1E"/>
          <w:sz w:val="19"/>
        </w:rPr>
        <w:t>▪  Density: 650–720 kg/m³ (at 12% moisture content).</w:t>
      </w:r>
    </w:p>
    <w:p>
      <w:pPr>
        <w:spacing w:after="120"/>
        <w:ind w:left="360"/>
      </w:pPr>
      <w:r>
        <w:rPr>
          <w:rFonts w:ascii="Arial" w:hAnsi="Arial"/>
          <w:color w:val="1E1E1E"/>
          <w:sz w:val="19"/>
        </w:rPr>
        <w:t>▪  Moisture content at time of manufacture: 6–10% (per EN 322).</w:t>
      </w:r>
    </w:p>
    <w:p>
      <w:pPr>
        <w:spacing w:after="120"/>
        <w:ind w:left="360"/>
      </w:pPr>
      <w:r>
        <w:rPr>
          <w:rFonts w:ascii="Arial" w:hAnsi="Arial"/>
          <w:color w:val="1E1E1E"/>
          <w:sz w:val="19"/>
        </w:rPr>
        <w:t>▪  Modulus of Elasticity (MOE) parallel to face grain: ≥ 10,000 MPa (typical).</w:t>
      </w:r>
    </w:p>
    <w:p>
      <w:pPr>
        <w:spacing w:after="120"/>
        <w:ind w:left="360"/>
      </w:pPr>
      <w:r>
        <w:rPr>
          <w:rFonts w:ascii="Arial" w:hAnsi="Arial"/>
          <w:color w:val="1E1E1E"/>
          <w:sz w:val="19"/>
        </w:rPr>
        <w:t>▪  Modulus of Rupture (MOR) parallel to face grain: ≥ 60 MPa (typical).</w:t>
      </w:r>
    </w:p>
    <w:p>
      <w:pPr>
        <w:spacing w:after="120"/>
        <w:ind w:left="360"/>
      </w:pPr>
      <w:r>
        <w:rPr>
          <w:rFonts w:ascii="Arial" w:hAnsi="Arial"/>
          <w:color w:val="1E1E1E"/>
          <w:sz w:val="19"/>
        </w:rPr>
        <w:t>▪  Janka hardness (face): 3,680 N (typical for birch).</w:t>
      </w:r>
    </w:p>
    <w:p>
      <w:pPr>
        <w:spacing w:after="120"/>
        <w:ind w:left="360"/>
      </w:pPr>
      <w:r>
        <w:rPr>
          <w:rFonts w:ascii="Arial" w:hAnsi="Arial"/>
          <w:color w:val="1E1E1E"/>
          <w:sz w:val="19"/>
        </w:rPr>
        <w:t>▪  Phenolic glue bond: EN 314-2 Class 2 (interior) or Class 3 (exterior/waterproof) – specify when ordering. BBB and BBCP are typically Class 2 unless stated otherwise.</w:t>
      </w:r>
    </w:p>
    <w:p>
      <w:pPr>
        <w:spacing w:after="120"/>
        <w:ind w:left="360"/>
      </w:pPr>
      <w:r>
        <w:rPr>
          <w:rFonts w:ascii="Arial" w:hAnsi="Arial"/>
          <w:color w:val="1E1E1E"/>
          <w:sz w:val="19"/>
        </w:rPr>
        <w:t>▪  Formaldehyde emission class: E1 (≤0.1 ppm) per EN 717-1.</w:t>
      </w:r>
    </w:p>
    <w:p>
      <w:pPr>
        <w:spacing w:after="120"/>
        <w:ind w:left="360"/>
      </w:pPr>
      <w:r>
        <w:rPr>
          <w:rFonts w:ascii="Arial" w:hAnsi="Arial"/>
          <w:color w:val="1E1E1E"/>
          <w:sz w:val="19"/>
        </w:rPr>
        <w:t>▪  Squareness tolerance: ±1 mm per 1000 mm of diagonal.</w:t>
      </w:r>
    </w:p>
    <w:p>
      <w:pPr>
        <w:spacing w:after="120"/>
        <w:ind w:left="360"/>
      </w:pPr>
      <w:r>
        <w:rPr>
          <w:rFonts w:ascii="Arial" w:hAnsi="Arial"/>
          <w:color w:val="1E1E1E"/>
          <w:sz w:val="19"/>
        </w:rPr>
        <w:t>▪  Flatness tolerance: ≤ 0.5% of panel length (e.g., 6 mm over 1220 mm).</w:t>
      </w:r>
    </w:p>
    <w:p>
      <w:r>
        <w:rPr>
          <w:rFonts w:ascii="Arial" w:hAnsi="Arial"/>
          <w:b/>
          <w:color w:val="1A9E9E"/>
          <w:sz w:val="22"/>
        </w:rPr>
        <w:t>3.0 Processing, Machinability &amp; Application</w:t>
      </w:r>
    </w:p>
    <w:p>
      <w:pPr>
        <w:spacing w:after="120"/>
        <w:ind w:left="216"/>
      </w:pPr>
      <w:r>
        <w:rPr>
          <w:rFonts w:ascii="Arial" w:hAnsi="Arial"/>
          <w:color w:val="1E1E1E"/>
          <w:sz w:val="19"/>
        </w:rPr>
        <w:t>Baltic Birch machines exceptionally well due to its uniform density and fine grain. It is suitable for sawing, routing, drilling, sanding, and laser cutting. The phenolic glue is heat-resistant but can dull tooling faster than softwood plywood. For CNC routing, use carbide-tipped tools with a compression or upcut spiral geometry to minimize tear-out on both faces.</w:t>
      </w:r>
    </w:p>
    <w:p>
      <w:pPr>
        <w:spacing w:after="120"/>
        <w:ind w:left="360"/>
      </w:pPr>
      <w:r>
        <w:rPr>
          <w:rFonts w:ascii="Arial" w:hAnsi="Arial"/>
          <w:color w:val="1E1E1E"/>
          <w:sz w:val="19"/>
        </w:rPr>
        <w:t>▪  Sawing: Use a carbide-tipped blade with 60–80 teeth for clean cuts. Feed rate: 10–15 m/min for 18mm panel. Avoid climb-cutting on table saws to prevent chipping.</w:t>
      </w:r>
    </w:p>
    <w:p>
      <w:pPr>
        <w:spacing w:after="120"/>
        <w:ind w:left="360"/>
      </w:pPr>
      <w:r>
        <w:rPr>
          <w:rFonts w:ascii="Arial" w:hAnsi="Arial"/>
          <w:color w:val="1E1E1E"/>
          <w:sz w:val="19"/>
        </w:rPr>
        <w:t>▪  CNC routing: Recommended spindle speed 16,000–20,000 RPM, feed rate 3–6 m/min (depending on bit diameter). Use a 6 mm compression bit for 18mm material. Climb cut for final pass to reduce fuzz.</w:t>
      </w:r>
    </w:p>
    <w:p>
      <w:pPr>
        <w:spacing w:after="120"/>
        <w:ind w:left="360"/>
      </w:pPr>
      <w:r>
        <w:rPr>
          <w:rFonts w:ascii="Arial" w:hAnsi="Arial"/>
          <w:color w:val="1E1E1E"/>
          <w:sz w:val="19"/>
        </w:rPr>
        <w:t>▪  Laser cutting: CO2 laser at 80–120 W, speed 10–20 mm/s for 6mm, 5–10 mm/s for 18mm. Expect slight charring on cut edge; adjust power/frequency to minimize burn.</w:t>
      </w:r>
    </w:p>
    <w:p>
      <w:pPr>
        <w:spacing w:after="120"/>
        <w:ind w:left="360"/>
      </w:pPr>
      <w:r>
        <w:rPr>
          <w:rFonts w:ascii="Arial" w:hAnsi="Arial"/>
          <w:color w:val="1E1E1E"/>
          <w:sz w:val="19"/>
        </w:rPr>
        <w:t>▪  Drilling: Use brad-point or Forstner bits for clean holes. Pilot holes recommended for screws to prevent splitting near edges.</w:t>
      </w:r>
    </w:p>
    <w:p>
      <w:pPr>
        <w:spacing w:after="120"/>
        <w:ind w:left="360"/>
      </w:pPr>
      <w:r>
        <w:rPr>
          <w:rFonts w:ascii="Arial" w:hAnsi="Arial"/>
          <w:color w:val="1E1E1E"/>
          <w:sz w:val="19"/>
        </w:rPr>
        <w:t>▪  Sanding: Start with 120 grit, progress to 220 grit for paint-ready surface. Avoid over-sanding through the thin face veneer (0.5–0.6 mm).</w:t>
      </w:r>
    </w:p>
    <w:p>
      <w:pPr>
        <w:spacing w:after="120"/>
        <w:ind w:left="360"/>
      </w:pPr>
      <w:r>
        <w:rPr>
          <w:rFonts w:ascii="Arial" w:hAnsi="Arial"/>
          <w:color w:val="1E1E1E"/>
          <w:sz w:val="19"/>
        </w:rPr>
        <w:t>▪  Gluing: Use PVA (wood glue) or polyurethane adhesive. Clamp pressure: 0.5–1.0 MPa. Open time: 5–10 minutes at 20°C.</w:t>
      </w:r>
    </w:p>
    <w:p>
      <w:pPr>
        <w:spacing w:after="120"/>
        <w:ind w:left="360"/>
      </w:pPr>
      <w:r>
        <w:rPr>
          <w:rFonts w:ascii="Arial" w:hAnsi="Arial"/>
          <w:color w:val="1E1E1E"/>
          <w:sz w:val="19"/>
        </w:rPr>
        <w:t>▪  Finishing: Accepts paints, stains, and clear coats well. Seal edges with edge banding or primer to prevent moisture ingress.</w:t>
      </w:r>
    </w:p>
    <w:p>
      <w:r>
        <w:rPr>
          <w:rFonts w:ascii="Arial" w:hAnsi="Arial"/>
          <w:b/>
          <w:color w:val="1A9E9E"/>
          <w:sz w:val="22"/>
        </w:rPr>
        <w:t>4.0 Common Defects &amp; Quality Control</w:t>
      </w:r>
    </w:p>
    <w:p>
      <w:pPr>
        <w:spacing w:after="120"/>
        <w:ind w:left="360"/>
      </w:pPr>
      <w:r>
        <w:rPr>
          <w:rFonts w:ascii="Arial" w:hAnsi="Arial"/>
          <w:color w:val="1E1E1E"/>
          <w:sz w:val="19"/>
        </w:rPr>
        <w:t>▪  Reject if any void (open or filled) exceeds 6 mm in diameter on the face or back veneer of BBB grade. For BBCP, voids on the C-grade face must be plugged and sanded flush; unplugged voids &gt; 10 mm are rejectable.</w:t>
      </w:r>
    </w:p>
    <w:p>
      <w:pPr>
        <w:spacing w:after="120"/>
        <w:ind w:left="360"/>
      </w:pPr>
      <w:r>
        <w:rPr>
          <w:rFonts w:ascii="Arial" w:hAnsi="Arial"/>
          <w:color w:val="1E1E1E"/>
          <w:sz w:val="19"/>
        </w:rPr>
        <w:t>▪  Reject if surface checks (cracks) are longer than 20 mm or wider than 0.5 mm on BBB face.</w:t>
      </w:r>
    </w:p>
    <w:p>
      <w:pPr>
        <w:spacing w:after="120"/>
        <w:ind w:left="360"/>
      </w:pPr>
      <w:r>
        <w:rPr>
          <w:rFonts w:ascii="Arial" w:hAnsi="Arial"/>
          <w:color w:val="1E1E1E"/>
          <w:sz w:val="19"/>
        </w:rPr>
        <w:t>▪  Reject if there is any delamination (separation between plies) visible at panel edges or detectable by tapping test.</w:t>
      </w:r>
    </w:p>
    <w:p>
      <w:pPr>
        <w:spacing w:after="120"/>
        <w:ind w:left="360"/>
      </w:pPr>
      <w:r>
        <w:rPr>
          <w:rFonts w:ascii="Arial" w:hAnsi="Arial"/>
          <w:color w:val="1E1E1E"/>
          <w:sz w:val="19"/>
        </w:rPr>
        <w:t>▪  Reject if panel is out-of-square by more than 2 mm over the diagonal (for 1525 mm panel).</w:t>
      </w:r>
    </w:p>
    <w:p>
      <w:pPr>
        <w:spacing w:after="120"/>
        <w:ind w:left="360"/>
      </w:pPr>
      <w:r>
        <w:rPr>
          <w:rFonts w:ascii="Arial" w:hAnsi="Arial"/>
          <w:color w:val="1E1E1E"/>
          <w:sz w:val="19"/>
        </w:rPr>
        <w:t>▪  Reject if bow (warp) exceeds 6 mm over 1220 mm length when laid flat on a reference surface.</w:t>
      </w:r>
    </w:p>
    <w:p>
      <w:pPr>
        <w:spacing w:after="120"/>
        <w:ind w:left="360"/>
      </w:pPr>
      <w:r>
        <w:rPr>
          <w:rFonts w:ascii="Arial" w:hAnsi="Arial"/>
          <w:color w:val="1E1E1E"/>
          <w:sz w:val="19"/>
        </w:rPr>
        <w:t>▪  Reject if moisture content is below 5% or above 12% at time of delivery (per EN 322).</w:t>
      </w:r>
    </w:p>
    <w:p>
      <w:pPr>
        <w:spacing w:after="120"/>
        <w:ind w:left="360"/>
      </w:pPr>
      <w:r>
        <w:rPr>
          <w:rFonts w:ascii="Arial" w:hAnsi="Arial"/>
          <w:color w:val="1E1E1E"/>
          <w:sz w:val="19"/>
        </w:rPr>
        <w:t>▪  Reject if there are any signs of fungal decay, insect damage, or blue stain on any ply.</w:t>
      </w:r>
    </w:p>
    <w:p>
      <w:pPr>
        <w:spacing w:after="120"/>
        <w:ind w:left="360"/>
      </w:pPr>
      <w:r>
        <w:rPr>
          <w:rFonts w:ascii="Arial" w:hAnsi="Arial"/>
          <w:color w:val="1E1E1E"/>
          <w:sz w:val="19"/>
        </w:rPr>
        <w:t>▪  Reject if the face veneer has more than 2 repaired knots (plugs) per square meter for BBB grade.</w:t>
      </w:r>
    </w:p>
    <w:p>
      <w:pPr>
        <w:spacing w:after="120"/>
        <w:ind w:left="360"/>
      </w:pPr>
      <w:r>
        <w:rPr>
          <w:rFonts w:ascii="Arial" w:hAnsi="Arial"/>
          <w:color w:val="1E1E1E"/>
          <w:sz w:val="19"/>
        </w:rPr>
        <w:t>▪  Reject if the panel has a strong formaldehyde odor (indicative of non-E1 compliance).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Baltic Birch Plywood is not classified as a hazardous material under WHMIS 2015 when in solid form. However, dust generated during machining is a respiratory hazard and may contain formaldehyde residues. Follow safe work practices and use engineering controls.</w:t>
              <w:br/>
            </w:r>
            <w:r>
              <w:rPr>
                <w:rFonts w:ascii="Arial" w:hAnsi="Arial"/>
                <w:color w:val="1E1E1E"/>
                <w:sz w:val="19"/>
              </w:rPr>
              <w:t>•  Store panels flat on a level surface, stacked with stickers (spacers) every 600 mm to allow air circulation. Maximum stack height: 1.5 m to prevent crushing lower panels.</w:t>
              <w:br/>
            </w:r>
            <w:r>
              <w:rPr>
                <w:rFonts w:ascii="Arial" w:hAnsi="Arial"/>
                <w:color w:val="1E1E1E"/>
                <w:sz w:val="19"/>
              </w:rPr>
              <w:t>•  Storage environment: 15–25°C, relative humidity 40–60%. Avoid direct sunlight and damp floors. Acclimate panels for 48–72 hours before machining.</w:t>
              <w:br/>
            </w:r>
            <w:r>
              <w:rPr>
                <w:rFonts w:ascii="Arial" w:hAnsi="Arial"/>
                <w:color w:val="1E1E1E"/>
                <w:sz w:val="19"/>
              </w:rPr>
              <w:t>•  Shelf life: Indefinite if stored properly. Use FIFO (first-in, first-out) to prevent age-related moisture changes.</w:t>
              <w:br/>
            </w:r>
            <w:r>
              <w:rPr>
                <w:rFonts w:ascii="Arial" w:hAnsi="Arial"/>
                <w:color w:val="1E1E1E"/>
                <w:sz w:val="19"/>
              </w:rPr>
              <w:t>•  WHMIS hazard classification: Not classified as dangerous goods. However, wood dust is a known carcinogen (IARC Group 1) and combustible dust. Use local exhaust ventilation (LEV) during sanding and cutting.</w:t>
              <w:br/>
            </w:r>
            <w:r>
              <w:rPr>
                <w:rFonts w:ascii="Arial" w:hAnsi="Arial"/>
                <w:color w:val="1E1E1E"/>
                <w:sz w:val="19"/>
              </w:rPr>
              <w:t>•  Mandatory PPE during machining: Safety glasses, hearing protection, dust mask (N95 minimum) or respirator (P100 for prolonged exposure), and cut-resistant gloves when handling raw panels.</w:t>
              <w:br/>
            </w:r>
            <w:r>
              <w:rPr>
                <w:rFonts w:ascii="Arial" w:hAnsi="Arial"/>
                <w:color w:val="1E1E1E"/>
                <w:sz w:val="19"/>
              </w:rPr>
              <w:t>•  First aid: For eye contact with dust, flush with water for 15 minutes. For skin irritation, wash with soap and water. If inhaled, move to fresh air. Seek medical attention if symptoms persist.</w:t>
              <w:br/>
            </w:r>
            <w:r>
              <w:rPr>
                <w:rFonts w:ascii="Arial" w:hAnsi="Arial"/>
                <w:color w:val="1E1E1E"/>
                <w:sz w:val="19"/>
              </w:rPr>
              <w:t>•  Disposal: Non-hazardous solid waste. Recycle or incinerate in permitted facilities. Do not burn in open fires due to adhesive fumes.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