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1A9E9E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Technical Material Specification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</w:t>
            </w:r>
          </w:p>
        </w:tc>
      </w:tr>
    </w:tbl>
    <w:p>
      <w:pPr>
        <w:spacing w:after="280"/>
        <w:pBdr>
          <w:bottom w:val="single" w:sz="8" w:space="8" w:color="1A9E9E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Cast Acrylic Sheet (PMMA) – Technical Material Specification</w:t>
      </w:r>
    </w:p>
    <w:p>
      <w:r>
        <w:rPr>
          <w:rFonts w:ascii="Arial" w:hAnsi="Arial"/>
          <w:b/>
          <w:color w:val="1A9E9E"/>
          <w:sz w:val="22"/>
        </w:rPr>
        <w:t>1.0 Material Overview &amp; Common Uses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Cast Acrylic Sheet, also known as PMMA (Polymethyl Methacrylate), is a transparent thermoplastic produced via cell casting between glass plates. This process yields a material with superior optical clarity, UV stability, and weatherability compared to extruded acrylic. It is commonly used as a lightweight, shatter-resistant alternative to glass in signage, retail displays, architectural glazing, skylights, aquariums, and protective barriers. Cast acrylic offers excellent machinability and can be polished to a high optical finish.</w:t>
      </w:r>
    </w:p>
    <w:p>
      <w:r>
        <w:rPr>
          <w:rFonts w:ascii="Arial" w:hAnsi="Arial"/>
          <w:b/>
          <w:color w:val="1A9E9E"/>
          <w:sz w:val="22"/>
        </w:rPr>
        <w:t>2.0 Core Technical Properties &amp; Sizing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Density: 1.19 g/cm³ (nominal)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Tensile Strength: 70–80 MPa (ASTM D638)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Flexural Modulus: 3.1 GPa (ASTM D790)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Impact Strength (Izod notched): 16 J/m (ASTM D256)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Light Transmission: 92% (visible spectrum, 3 mm thickness)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Refractive Index: 1.49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Melting Point: 160°C (softening begins at 100°C)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Continuous Service Temperature: 80°C (max)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Coefficient of Thermal Expansion: 70 × 10⁻⁶ /°C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Standard Sheet Sizes: 1220 × 2440 mm (4×8 ft), 1525 × 3050 mm (5×10 ft)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Thickness Tolerances: ±0.5 mm for 3–6 mm sheets; ±0.8 mm for 10–25 mm sheets (ASTM D4802)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Hardness (Rockwell M): 90–100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Water Absorption (24 hr): 0.3% (ASTM D570)</w:t>
      </w:r>
    </w:p>
    <w:p>
      <w:r>
        <w:rPr>
          <w:rFonts w:ascii="Arial" w:hAnsi="Arial"/>
          <w:b/>
          <w:color w:val="1A9E9E"/>
          <w:sz w:val="22"/>
        </w:rPr>
        <w:t>3.0 Processing, Machinability &amp; Application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Cast acrylic is highly machinable but requires careful control of cutting speeds and feed rates to avoid heat buildup, which can cause melting, chipping, or stress cracking. Carbide-tipped tooling is recommended for all machining operations. Laser cutting produces a polished edge, while sawing and routing require secondary flame or diamond polishing for optical clarity. Drilling should use standard twist drills with a 118° point angle and a backing plate to prevent breakout. For bonding, use solvent cements such as methylene chloride or proprietary acrylic adhesives; allow 24 hours for full cure at 20°C. Bending requires localized heating to 150–170°C using a strip heater; avoid overheating to prevent bubbles. Threaded inserts can be installed using ultrasonic or heat-staking methods.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Sawing: Use carbide-tipped circular saw blades with 60–80 teeth; feed rate 3–5 m/min.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Routing: Use single-flute carbide bits; spindle speed 12,000–18,000 RPM; feed rate 2–4 m/min.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Drilling: Use 118° point angle HSS or carbide drills; speed 500–1000 RPM; peck feed to clear chips.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Laser Cutting: CO2 laser, 100–200 W; speed 10–30 mm/s depending on thickness; assist gas: compressed air.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Edge Polishing: Flame polish using a hydrogen-oxygen torch; diamond buffing for high-gloss finish.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Solvent Bonding: Apply methylene chloride or Weld-On 3; clamp for 30 minutes; full cure at 24 hours.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Thermoforming: Heat to 160–180°C in a convection oven; form within 60 seconds; cool slowly to avoid stress.</w:t>
      </w:r>
    </w:p>
    <w:p>
      <w:r>
        <w:rPr>
          <w:rFonts w:ascii="Arial" w:hAnsi="Arial"/>
          <w:b/>
          <w:color w:val="1A9E9E"/>
          <w:sz w:val="22"/>
        </w:rPr>
        <w:t>4.0 Common Defects &amp; Quality Control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surface scratches exceed 0.1 mm depth visible under 5x magnification.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internal bubbles or inclusions are larger than 0.5 mm in diameter.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thickness variation exceeds ±0.5 mm for sheets under 10 mm, or ±0.8 mm for thicker sheets.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sheet is out-of-square by more than 1.5 mm per 1000 mm of edge length.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surface has orange peel texture or waviness exceeding 0.2 mm over 300 mm span.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there is evidence of delamination or stress cracking at edges.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yellowing or haze is visible under standard D65 lighting.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Acceptable warp: less than 1 mm per 300 mm of sheet length when laid flat.</w:t>
      </w:r>
    </w:p>
    <w:p>
      <w:r>
        <w:rPr>
          <w:rFonts w:ascii="Arial" w:hAnsi="Arial"/>
          <w:b/>
          <w:color w:val="1A9E9E"/>
          <w:sz w:val="22"/>
        </w:rPr>
        <w:t>5.0 Storage, Handling &amp; WHMIS Guidelines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•  Store sheets vertically in a dry, clean area at 15–25°C and below 50% relative humidity.</w:t>
              <w:br/>
            </w:r>
            <w:r>
              <w:rPr>
                <w:rFonts w:ascii="Arial" w:hAnsi="Arial"/>
                <w:color w:val="1E1E1E"/>
                <w:sz w:val="19"/>
              </w:rPr>
              <w:t>•  Remove protective masking within 6 months of receipt; prolonged exposure may cause adhesive residue.</w:t>
              <w:br/>
            </w:r>
            <w:r>
              <w:rPr>
                <w:rFonts w:ascii="Arial" w:hAnsi="Arial"/>
                <w:color w:val="1E1E1E"/>
                <w:sz w:val="19"/>
              </w:rPr>
              <w:t>•  Use FIFO (First-In, First-Out) inventory rotation; shelf life is 2 years from manufacture date under proper storage.</w:t>
              <w:br/>
            </w:r>
            <w:r>
              <w:rPr>
                <w:rFonts w:ascii="Arial" w:hAnsi="Arial"/>
                <w:color w:val="1E1E1E"/>
                <w:sz w:val="19"/>
              </w:rPr>
              <w:t>•  Avoid direct sunlight and UV sources during storage to prevent yellowing.</w:t>
              <w:br/>
            </w:r>
            <w:r>
              <w:rPr>
                <w:rFonts w:ascii="Arial" w:hAnsi="Arial"/>
                <w:color w:val="1E1E1E"/>
                <w:sz w:val="19"/>
              </w:rPr>
              <w:t>•  WHMIS Classification: Not classified as hazardous under WHMIS 2015; combustible dust may form during machining.</w:t>
              <w:br/>
            </w:r>
            <w:r>
              <w:rPr>
                <w:rFonts w:ascii="Arial" w:hAnsi="Arial"/>
                <w:color w:val="1E1E1E"/>
                <w:sz w:val="19"/>
              </w:rPr>
              <w:t>•  Mandatory PPE: Safety glasses with side shields, cut-resistant gloves (ANSI A2 or higher), and dust mask (N95) during sanding or sawing.</w:t>
              <w:br/>
            </w:r>
            <w:r>
              <w:rPr>
                <w:rFonts w:ascii="Arial" w:hAnsi="Arial"/>
                <w:color w:val="1E1E1E"/>
                <w:sz w:val="19"/>
              </w:rPr>
              <w:t>•  Ensure local exhaust ventilation (LEV) is used during machining to control airborne particulates below 3 mg/m³ (8-hour TWA).</w:t>
              <w:br/>
            </w:r>
            <w:r>
              <w:rPr>
                <w:rFonts w:ascii="Arial" w:hAnsi="Arial"/>
                <w:color w:val="1E1E1E"/>
                <w:sz w:val="19"/>
              </w:rPr>
              <w:t>•  In case of fire: Use water fog, foam, or dry chemical; acrylic burns with a sooty flame and may release methyl methacrylate vapor.</w:t>
              <w:br/>
            </w:r>
            <w:r>
              <w:rPr>
                <w:rFonts w:ascii="Arial" w:hAnsi="Arial"/>
                <w:color w:val="1E1E1E"/>
                <w:sz w:val="19"/>
              </w:rPr>
              <w:t>•  Dispose of scrap in accordance with local municipal solid waste regulations; not classified as hazardous waste.</w:t>
            </w:r>
          </w:p>
        </w:tc>
      </w:tr>
    </w:tbl>
    <w:p>
      <w:pPr>
        <w:spacing w:after="240"/>
      </w:pP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technical material specification provided for educational purposes. The end-user assumes all liability for reviewing, adapting, and validating all tolerances, properties, and safety protocols against specific OEM data sheets and local regulations before deployment.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SupplyGrid Operations &amp; Inventory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1A9E9E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