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Technical Material Specification</w:t>
            </w:r>
          </w:p>
        </w:tc>
        <w:tc>
          <w:tcPr>
            <w:tcW w:type="dxa" w:w="5400"/>
          </w:tcPr>
          <w:p>
            <w:pPr>
              <w:jc w:val="right"/>
            </w:pPr>
            <w:r>
              <w:rPr>
                <w:rFonts w:ascii="Arial" w:hAnsi="Arial"/>
                <w:color w:val="787878"/>
                <w:sz w:val="18"/>
              </w:rPr>
              <w:t>Created By: ____________________</w:t>
              <w:br/>
              <w:t>Verified By: ____________________</w:t>
              <w:br/>
              <w:t>Version: 1.0</w:t>
            </w:r>
          </w:p>
        </w:tc>
      </w:tr>
    </w:tbl>
    <w:p>
      <w:pPr>
        <w:spacing w:after="280"/>
        <w:pBdr>
          <w:bottom w:val="single" w:sz="8" w:space="8" w:color="1A9E9E"/>
        </w:pBdr>
      </w:pPr>
    </w:p>
    <w:p>
      <w:pPr>
        <w:spacing w:after="240"/>
      </w:pPr>
      <w:r>
        <w:rPr>
          <w:rFonts w:ascii="Arial" w:hAnsi="Arial"/>
          <w:b/>
          <w:color w:val="1E1E1E"/>
          <w:sz w:val="30"/>
        </w:rPr>
        <w:t>High Density Hardboard (Masonite) – Technical Material Specification</w:t>
      </w:r>
    </w:p>
    <w:p>
      <w:r>
        <w:rPr>
          <w:rFonts w:ascii="Arial" w:hAnsi="Arial"/>
          <w:b/>
          <w:color w:val="1A9E9E"/>
          <w:sz w:val="22"/>
        </w:rPr>
        <w:t>1.0 Material Overview &amp; Common Uses</w:t>
      </w:r>
    </w:p>
    <w:p>
      <w:pPr>
        <w:spacing w:after="120"/>
        <w:ind w:left="216"/>
      </w:pPr>
      <w:r>
        <w:rPr>
          <w:rFonts w:ascii="Arial" w:hAnsi="Arial"/>
          <w:color w:val="1E1E1E"/>
          <w:sz w:val="19"/>
        </w:rPr>
        <w:t>High Density Hardboard, commonly known by the brand name Masonite, is an engineered wood product made from wood fibers that are pressure-formed and heat-treated into dense, rigid sheets. It contains no grain, knots, or voids, providing a uniform surface ideal for painting, laminating, or veneering. This material is classified as a high-density fiberboard (HDF) with a specific gravity typically above 0.80.</w:t>
      </w:r>
    </w:p>
    <w:p>
      <w:pPr>
        <w:spacing w:after="120"/>
        <w:ind w:left="216"/>
      </w:pPr>
      <w:r>
        <w:rPr>
          <w:rFonts w:ascii="Arial" w:hAnsi="Arial"/>
          <w:color w:val="1E1E1E"/>
          <w:sz w:val="19"/>
        </w:rPr>
        <w:t>Common industrial applications include: jig and fixture bases, template stock, die boards, paint-grade cabinet panels, drawer bottoms, pegboard, furniture backer panels, and temporary construction barriers. Its smooth surface and dimensional stability make it a preferred substrate for high-quality painted finishes and CNC routing.</w:t>
      </w:r>
    </w:p>
    <w:p>
      <w:r>
        <w:rPr>
          <w:rFonts w:ascii="Arial" w:hAnsi="Arial"/>
          <w:b/>
          <w:color w:val="1A9E9E"/>
          <w:sz w:val="22"/>
        </w:rPr>
        <w:t>2.0 Core Technical Properties &amp; Sizing</w:t>
      </w:r>
    </w:p>
    <w:p>
      <w:pPr>
        <w:spacing w:after="120"/>
        <w:ind w:left="360"/>
      </w:pPr>
      <w:r>
        <w:rPr>
          <w:rFonts w:ascii="Arial" w:hAnsi="Arial"/>
          <w:color w:val="1E1E1E"/>
          <w:sz w:val="19"/>
        </w:rPr>
        <w:t>▪  Density: 0.80 – 1.00 g/cm³ (50 – 62 lb/ft³) depending on grade and manufacturer.</w:t>
      </w:r>
    </w:p>
    <w:p>
      <w:pPr>
        <w:spacing w:after="120"/>
        <w:ind w:left="360"/>
      </w:pPr>
      <w:r>
        <w:rPr>
          <w:rFonts w:ascii="Arial" w:hAnsi="Arial"/>
          <w:color w:val="1E1E1E"/>
          <w:sz w:val="19"/>
        </w:rPr>
        <w:t>▪  Standard sheet dimensions: 4 ft x 8 ft (1220 mm x 2440 mm). Also available in 4 ft x 6 ft, 4 ft x 10 ft, and custom cut-to-size.</w:t>
      </w:r>
    </w:p>
    <w:p>
      <w:pPr>
        <w:spacing w:after="120"/>
        <w:ind w:left="360"/>
      </w:pPr>
      <w:r>
        <w:rPr>
          <w:rFonts w:ascii="Arial" w:hAnsi="Arial"/>
          <w:color w:val="1E1E1E"/>
          <w:sz w:val="19"/>
        </w:rPr>
        <w:t>▪  Common thicknesses: 1/8 in (3.2 mm), 3/16 in (4.8 mm), 1/4 in (6.4 mm), 3/8 in (9.5 mm), 1/2 in (12.7 mm).</w:t>
      </w:r>
    </w:p>
    <w:p>
      <w:pPr>
        <w:spacing w:after="120"/>
        <w:ind w:left="360"/>
      </w:pPr>
      <w:r>
        <w:rPr>
          <w:rFonts w:ascii="Arial" w:hAnsi="Arial"/>
          <w:color w:val="1E1E1E"/>
          <w:sz w:val="19"/>
        </w:rPr>
        <w:t>▪  Thickness tolerance: ±0.010 in (0.25 mm) for standard grade; ±0.005 in (0.13 mm) for premium/tempered grade.</w:t>
      </w:r>
    </w:p>
    <w:p>
      <w:pPr>
        <w:spacing w:after="120"/>
        <w:ind w:left="360"/>
      </w:pPr>
      <w:r>
        <w:rPr>
          <w:rFonts w:ascii="Arial" w:hAnsi="Arial"/>
          <w:color w:val="1E1E1E"/>
          <w:sz w:val="19"/>
        </w:rPr>
        <w:t>▪  Squareness tolerance: Maximum deviation of 1/16 in (1.6 mm) across diagonal for a 4 ft x 8 ft sheet.</w:t>
      </w:r>
    </w:p>
    <w:p>
      <w:pPr>
        <w:spacing w:after="120"/>
        <w:ind w:left="360"/>
      </w:pPr>
      <w:r>
        <w:rPr>
          <w:rFonts w:ascii="Arial" w:hAnsi="Arial"/>
          <w:color w:val="1E1E1E"/>
          <w:sz w:val="19"/>
        </w:rPr>
        <w:t>▪  Modulus of rupture (MOR): Minimum 5,000 psi (34.5 MPa) for standard; 7,000 psi (48.3 MPa) for tempered.</w:t>
      </w:r>
    </w:p>
    <w:p>
      <w:pPr>
        <w:spacing w:after="120"/>
        <w:ind w:left="360"/>
      </w:pPr>
      <w:r>
        <w:rPr>
          <w:rFonts w:ascii="Arial" w:hAnsi="Arial"/>
          <w:color w:val="1E1E1E"/>
          <w:sz w:val="19"/>
        </w:rPr>
        <w:t>▪  Modulus of elasticity (MOE): Minimum 400,000 psi (2.76 GPa) for standard; 600,000 psi (4.14 GPa) for tempered.</w:t>
      </w:r>
    </w:p>
    <w:p>
      <w:pPr>
        <w:spacing w:after="120"/>
        <w:ind w:left="360"/>
      </w:pPr>
      <w:r>
        <w:rPr>
          <w:rFonts w:ascii="Arial" w:hAnsi="Arial"/>
          <w:color w:val="1E1E1E"/>
          <w:sz w:val="19"/>
        </w:rPr>
        <w:t>▪  Internal bond strength: Minimum 50 psi (0.34 MPa) per ASTM D1037.</w:t>
      </w:r>
    </w:p>
    <w:p>
      <w:pPr>
        <w:spacing w:after="120"/>
        <w:ind w:left="360"/>
      </w:pPr>
      <w:r>
        <w:rPr>
          <w:rFonts w:ascii="Arial" w:hAnsi="Arial"/>
          <w:color w:val="1E1E1E"/>
          <w:sz w:val="19"/>
        </w:rPr>
        <w:t>▪  Moisture content at time of manufacture: 4% – 8% by weight.</w:t>
      </w:r>
    </w:p>
    <w:p>
      <w:pPr>
        <w:spacing w:after="120"/>
        <w:ind w:left="360"/>
      </w:pPr>
      <w:r>
        <w:rPr>
          <w:rFonts w:ascii="Arial" w:hAnsi="Arial"/>
          <w:color w:val="1E1E1E"/>
          <w:sz w:val="19"/>
        </w:rPr>
        <w:t>▪  Hardness (Janka): Not typically rated, but surface indentation resistance exceeds 500 lbf (2,224 N) for tempered grade.</w:t>
      </w:r>
    </w:p>
    <w:p>
      <w:pPr>
        <w:spacing w:after="120"/>
        <w:ind w:left="360"/>
      </w:pPr>
      <w:r>
        <w:rPr>
          <w:rFonts w:ascii="Arial" w:hAnsi="Arial"/>
          <w:color w:val="1E1E1E"/>
          <w:sz w:val="19"/>
        </w:rPr>
        <w:t>▪  Linear expansion (from 50% to 90% RH): 0.3% – 0.5% maximum.</w:t>
      </w:r>
    </w:p>
    <w:p>
      <w:r>
        <w:rPr>
          <w:rFonts w:ascii="Arial" w:hAnsi="Arial"/>
          <w:b/>
          <w:color w:val="1A9E9E"/>
          <w:sz w:val="22"/>
        </w:rPr>
        <w:t>3.0 Processing, Machinability &amp; Application</w:t>
      </w:r>
    </w:p>
    <w:p>
      <w:pPr>
        <w:spacing w:after="120"/>
        <w:ind w:left="216"/>
      </w:pPr>
      <w:r>
        <w:rPr>
          <w:rFonts w:ascii="Arial" w:hAnsi="Arial"/>
          <w:color w:val="1E1E1E"/>
          <w:sz w:val="19"/>
        </w:rPr>
        <w:t>High Density Hardboard machines cleanly with sharp tooling. It is prone to edge chipping if feed rates are too aggressive or tooling is dull. Carbide-tipped or polycrystalline diamond (PCD) tooling is recommended for high-volume production. The material produces fine dust that is a respiratory irritant; dust collection is mandatory.</w:t>
      </w:r>
    </w:p>
    <w:p>
      <w:pPr>
        <w:spacing w:after="120"/>
        <w:ind w:left="360"/>
      </w:pPr>
      <w:r>
        <w:rPr>
          <w:rFonts w:ascii="Arial" w:hAnsi="Arial"/>
          <w:color w:val="1E1E1E"/>
          <w:sz w:val="19"/>
        </w:rPr>
        <w:t>▪  Sawing: Use a carbide-tipped blade with 40–60 teeth for a clean cut. Feed rate: 10–15 m/min for 1/4 in thickness. Reduce feed by 20% for thicknesses above 3/8 in.</w:t>
      </w:r>
    </w:p>
    <w:p>
      <w:pPr>
        <w:spacing w:after="120"/>
        <w:ind w:left="360"/>
      </w:pPr>
      <w:r>
        <w:rPr>
          <w:rFonts w:ascii="Arial" w:hAnsi="Arial"/>
          <w:color w:val="1E1E1E"/>
          <w:sz w:val="19"/>
        </w:rPr>
        <w:t>▪  Routing/CNC: Use compression spiral bits (up-cut/down-cut combination) to minimize edge tear-out. Spindle speed: 16,000–20,000 RPM. Feed rate: 100–150 in/min (2.5–3.8 m/min) for 1/4 in depth per pass.</w:t>
      </w:r>
    </w:p>
    <w:p>
      <w:pPr>
        <w:spacing w:after="120"/>
        <w:ind w:left="360"/>
      </w:pPr>
      <w:r>
        <w:rPr>
          <w:rFonts w:ascii="Arial" w:hAnsi="Arial"/>
          <w:color w:val="1E1E1E"/>
          <w:sz w:val="19"/>
        </w:rPr>
        <w:t>▪  Drilling: Standard HSS or carbide twist drills. Point angle 118°. For through-holes, back up with a sacrificial board to prevent breakout. Peck drilling recommended for depths over 3x diameter.</w:t>
      </w:r>
    </w:p>
    <w:p>
      <w:pPr>
        <w:spacing w:after="120"/>
        <w:ind w:left="360"/>
      </w:pPr>
      <w:r>
        <w:rPr>
          <w:rFonts w:ascii="Arial" w:hAnsi="Arial"/>
          <w:color w:val="1E1E1E"/>
          <w:sz w:val="19"/>
        </w:rPr>
        <w:t>▪  Sanding: Use 120–220 grit aluminum oxide paper. Avoid excessive pressure to prevent burnishing. Dust extraction required.</w:t>
      </w:r>
    </w:p>
    <w:p>
      <w:pPr>
        <w:spacing w:after="120"/>
        <w:ind w:left="360"/>
      </w:pPr>
      <w:r>
        <w:rPr>
          <w:rFonts w:ascii="Arial" w:hAnsi="Arial"/>
          <w:color w:val="1E1E1E"/>
          <w:sz w:val="19"/>
        </w:rPr>
        <w:t>▪  Gluing: PVA (yellow glue) or polyurethane adhesive provides strong bonds. Apply 150–200 g/m² and clamp for 30–60 minutes. Surface must be clean and free of dust.</w:t>
      </w:r>
    </w:p>
    <w:p>
      <w:pPr>
        <w:spacing w:after="120"/>
        <w:ind w:left="360"/>
      </w:pPr>
      <w:r>
        <w:rPr>
          <w:rFonts w:ascii="Arial" w:hAnsi="Arial"/>
          <w:color w:val="1E1E1E"/>
          <w:sz w:val="19"/>
        </w:rPr>
        <w:t>▪  Painting/Finishing: Prime with a high-build acrylic primer to seal the porous surface. Two coats of latex or oil-based paint recommended. No grain raising issues typical of plywood.</w:t>
      </w:r>
    </w:p>
    <w:p>
      <w:pPr>
        <w:spacing w:after="120"/>
        <w:ind w:left="360"/>
      </w:pPr>
      <w:r>
        <w:rPr>
          <w:rFonts w:ascii="Arial" w:hAnsi="Arial"/>
          <w:color w:val="1E1E1E"/>
          <w:sz w:val="19"/>
        </w:rPr>
        <w:t>▪  Fastening: Use fine-thread screws with pilot holes. Pre-drill to 90% of screw diameter to prevent splitting. Maximum screw pull-out strength: 150 lb/in (26 N/mm) for 1/4 in tempered board.</w:t>
      </w:r>
    </w:p>
    <w:p>
      <w:r>
        <w:rPr>
          <w:rFonts w:ascii="Arial" w:hAnsi="Arial"/>
          <w:b/>
          <w:color w:val="1A9E9E"/>
          <w:sz w:val="22"/>
        </w:rPr>
        <w:t>4.0 Common Defects &amp; Quality Control</w:t>
      </w:r>
    </w:p>
    <w:p>
      <w:pPr>
        <w:spacing w:after="120"/>
        <w:ind w:left="360"/>
      </w:pPr>
      <w:r>
        <w:rPr>
          <w:rFonts w:ascii="Arial" w:hAnsi="Arial"/>
          <w:color w:val="1E1E1E"/>
          <w:sz w:val="19"/>
        </w:rPr>
        <w:t>▪  Reject if surface delamination is visible as blisters or raised areas exceeding 0.5 mm in height.</w:t>
      </w:r>
    </w:p>
    <w:p>
      <w:pPr>
        <w:spacing w:after="120"/>
        <w:ind w:left="360"/>
      </w:pPr>
      <w:r>
        <w:rPr>
          <w:rFonts w:ascii="Arial" w:hAnsi="Arial"/>
          <w:color w:val="1E1E1E"/>
          <w:sz w:val="19"/>
        </w:rPr>
        <w:t>▪  Reject if edge chipping or fraying exceeds 1.5 mm depth along any cut edge.</w:t>
      </w:r>
    </w:p>
    <w:p>
      <w:pPr>
        <w:spacing w:after="120"/>
        <w:ind w:left="360"/>
      </w:pPr>
      <w:r>
        <w:rPr>
          <w:rFonts w:ascii="Arial" w:hAnsi="Arial"/>
          <w:color w:val="1E1E1E"/>
          <w:sz w:val="19"/>
        </w:rPr>
        <w:t>▪  Reject if any single surface depression (dent) exceeds 0.5 mm depth or 10 mm diameter.</w:t>
      </w:r>
    </w:p>
    <w:p>
      <w:pPr>
        <w:spacing w:after="120"/>
        <w:ind w:left="360"/>
      </w:pPr>
      <w:r>
        <w:rPr>
          <w:rFonts w:ascii="Arial" w:hAnsi="Arial"/>
          <w:color w:val="1E1E1E"/>
          <w:sz w:val="19"/>
        </w:rPr>
        <w:t>▪  Reject if sheet is out-of-square by more than 1/16 in (1.6 mm) across the diagonal for a 4 ft x 8 ft sheet.</w:t>
      </w:r>
    </w:p>
    <w:p>
      <w:pPr>
        <w:spacing w:after="120"/>
        <w:ind w:left="360"/>
      </w:pPr>
      <w:r>
        <w:rPr>
          <w:rFonts w:ascii="Arial" w:hAnsi="Arial"/>
          <w:color w:val="1E1E1E"/>
          <w:sz w:val="19"/>
        </w:rPr>
        <w:t>▪  Reject if warp (bow or twist) exceeds 1/8 in (3.2 mm) over a 4 ft span when laid on a flat surface.</w:t>
      </w:r>
    </w:p>
    <w:p>
      <w:pPr>
        <w:spacing w:after="120"/>
        <w:ind w:left="360"/>
      </w:pPr>
      <w:r>
        <w:rPr>
          <w:rFonts w:ascii="Arial" w:hAnsi="Arial"/>
          <w:color w:val="1E1E1E"/>
          <w:sz w:val="19"/>
        </w:rPr>
        <w:t>▪  Reject if moisture content exceeds 10% at time of delivery (measured with a pin-type moisture meter).</w:t>
      </w:r>
    </w:p>
    <w:p>
      <w:pPr>
        <w:spacing w:after="120"/>
        <w:ind w:left="360"/>
      </w:pPr>
      <w:r>
        <w:rPr>
          <w:rFonts w:ascii="Arial" w:hAnsi="Arial"/>
          <w:color w:val="1E1E1E"/>
          <w:sz w:val="19"/>
        </w:rPr>
        <w:t>▪  Reject if oil or wax contamination is visible on the surface (will prevent paint adhesion).</w:t>
      </w:r>
    </w:p>
    <w:p>
      <w:pPr>
        <w:spacing w:after="120"/>
        <w:ind w:left="360"/>
      </w:pPr>
      <w:r>
        <w:rPr>
          <w:rFonts w:ascii="Arial" w:hAnsi="Arial"/>
          <w:color w:val="1E1E1E"/>
          <w:sz w:val="19"/>
        </w:rPr>
        <w:t>▪  Reject if thickness varies by more than ±0.015 in (0.38 mm) across the sheet.</w:t>
      </w:r>
    </w:p>
    <w:p>
      <w:pPr>
        <w:spacing w:after="120"/>
        <w:ind w:left="360"/>
      </w:pPr>
      <w:r>
        <w:rPr>
          <w:rFonts w:ascii="Arial" w:hAnsi="Arial"/>
          <w:color w:val="1E1E1E"/>
          <w:sz w:val="19"/>
        </w:rPr>
        <w:t>▪  Acceptable minor defects: Small surface scratches less than 0.2 mm depth, single pin knots less than 3 mm diameter (non-structural).</w:t>
      </w:r>
    </w:p>
    <w:p>
      <w:r>
        <w:rPr>
          <w:rFonts w:ascii="Arial" w:hAnsi="Arial"/>
          <w:b/>
          <w:color w:val="1A9E9E"/>
          <w:sz w:val="22"/>
        </w:rPr>
        <w:t>5.0 Storage, Handling &amp; WHMIS Guidelines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Store flat on a level surface, supported by full-width stickers spaced no more than 24 in (600 mm) apart. Do not store on edge.</w:t>
              <w:br/>
            </w:r>
            <w:r>
              <w:rPr>
                <w:rFonts w:ascii="Arial" w:hAnsi="Arial"/>
                <w:color w:val="1E1E1E"/>
                <w:sz w:val="19"/>
              </w:rPr>
              <w:t>•  Condition material to shop environment for 48 hours before machining. Ideal conditions: 20–25°C, 40–50% relative humidity.</w:t>
              <w:br/>
            </w:r>
            <w:r>
              <w:rPr>
                <w:rFonts w:ascii="Arial" w:hAnsi="Arial"/>
                <w:color w:val="1E1E1E"/>
                <w:sz w:val="19"/>
              </w:rPr>
              <w:t>•  Shelf life: Indefinite when stored properly. Use FIFO (first-in, first-out) to avoid moisture absorption from prolonged storage.</w:t>
              <w:br/>
            </w:r>
            <w:r>
              <w:rPr>
                <w:rFonts w:ascii="Arial" w:hAnsi="Arial"/>
                <w:color w:val="1E1E1E"/>
                <w:sz w:val="19"/>
              </w:rPr>
              <w:t>•  WHMIS Classification: Not classified as a hazardous product under WHMIS 2015 when in solid form. Dust generated during machining is classified as a nuisance particulate (CAS 9004-34-6).</w:t>
              <w:br/>
            </w:r>
            <w:r>
              <w:rPr>
                <w:rFonts w:ascii="Arial" w:hAnsi="Arial"/>
                <w:color w:val="1E1E1E"/>
                <w:sz w:val="19"/>
              </w:rPr>
              <w:t>•  Mandatory PPE during machining: NIOSH-approved N95 respirator (or better), safety glasses with side shields, hearing protection (if noise &gt; 85 dBA), and cut-resistant gloves when handling raw sheets.</w:t>
              <w:br/>
            </w:r>
            <w:r>
              <w:rPr>
                <w:rFonts w:ascii="Arial" w:hAnsi="Arial"/>
                <w:color w:val="1E1E1E"/>
                <w:sz w:val="19"/>
              </w:rPr>
              <w:t>•  Dust control: Use local exhaust ventilation (LEV) capturing at the point of generation. Maintain airborne dust levels below 3 mg/m³ (8-hour TWA) per ACGIH TLV.</w:t>
              <w:br/>
            </w:r>
            <w:r>
              <w:rPr>
                <w:rFonts w:ascii="Arial" w:hAnsi="Arial"/>
                <w:color w:val="1E1E1E"/>
                <w:sz w:val="19"/>
              </w:rPr>
              <w:t>•  Fire safety: Hardboard is combustible. Class A fire rating. Keep away from open flames and ignition sources. Use Class A extinguisher (water, foam, or dry chemical).</w:t>
              <w:br/>
            </w:r>
            <w:r>
              <w:rPr>
                <w:rFonts w:ascii="Arial" w:hAnsi="Arial"/>
                <w:color w:val="1E1E1E"/>
                <w:sz w:val="19"/>
              </w:rPr>
              <w:t>•  Spill procedure: Dry sweep or vacuum dust. Do not use compressed air for cleaning. Dispose of waste in accordance with local municipal solid waste regulations.</w:t>
              <w:br/>
            </w:r>
            <w:r>
              <w:rPr>
                <w:rFonts w:ascii="Arial" w:hAnsi="Arial"/>
                <w:color w:val="1E1E1E"/>
                <w:sz w:val="19"/>
              </w:rPr>
              <w:t>•  First aid: For eye contact, flush with water for 15 minutes. For skin contact, wash with soap and water. If dust is inhaled, move to fresh air. Seek medical attention if irritation persists.</w:t>
            </w:r>
          </w:p>
        </w:tc>
      </w:tr>
    </w:tbl>
    <w:p>
      <w:pPr>
        <w:spacing w:after="240"/>
      </w:pP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technical material specification provided for educational purposes. The end-user assumes all liability for reviewing, adapting, and validating all tolerances, properties, and safety protocols against specific OEM data sheets and local regulations before deployment.</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