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Lease Negotiation Preparation For Equipment</w:t>
      </w:r>
    </w:p>
    <w:p>
      <w:r>
        <w:rPr>
          <w:rFonts w:ascii="Arial" w:hAnsi="Arial"/>
          <w:b/>
          <w:color w:val="7C8DB0"/>
          <w:sz w:val="22"/>
        </w:rPr>
        <w:t>1.0 Objective &amp; Intent</w:t>
      </w:r>
    </w:p>
    <w:p>
      <w:pPr>
        <w:spacing w:after="240"/>
      </w:pPr>
      <w:r>
        <w:t>This policy establishes a standardized framework for preparing lease negotiations for manufacturing equipment, including CNC routers, edgebanders, and panel saws, to secure favorable financial terms, minimize liability exposure, and ensure alignment with corporate cash flow projections. The intent is to reduce total cost of ownership by 10-15% through structured negotiation, prevent unbudgeted capital outflows, and mitigate risks associated with equipment obsolescence, maintenance obligations, and early termination penalties. By enforcing rigorous preparation, the company protects its balance sheet and maintains operational flexibility in a capital-intensive industry.</w:t>
      </w:r>
    </w:p>
    <w:p>
      <w:r>
        <w:rPr>
          <w:rFonts w:ascii="Arial" w:hAnsi="Arial"/>
          <w:b/>
          <w:color w:val="7C8DB0"/>
          <w:sz w:val="22"/>
        </w:rPr>
        <w:t>2.0 Operational Scope</w:t>
      </w:r>
    </w:p>
    <w:p>
      <w:pPr>
        <w:spacing w:after="240"/>
      </w:pPr>
      <w:r>
        <w:t>This policy applies to all departments involved in equipment acquisition, including Operations, Finance, Procurement, and Production. It covers all lease agreements for machinery, vehicles, and technology assets with a monthly payment exceeding $2,000 CAD or a lease term longer than 12 months. Excluded are short-term rentals (under 90 days) and consumable supply agreements. All lease negotiations must follow this policy regardless of funding source (operating lease, finance lease, or vendor financing).</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lease negotiation data, including financial projections, vendor pricing, and internal cost analyses, must be classified as confidential and stored in encrypted company repositories (e.g., SharePoint with access controls). In compliance with PIPEDA, personal information of guarantors or directors must be collected only with explicit consent and retained no longer than seven years post-lease termination. Financial internal controls require dual authorization for any lease commitment exceeding $50,000 CAD, with documentation of negotiation rationale and approval thresholds. Secure record-keeping mandates that all lease drafts, correspondence, and executed agreements be archived in a tamper-proof digital format with audit trails.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Sage 300 or QuickBooks Enterprise for financial modeling and lease vs. buy analysis</w:t>
        <w:br/>
        <w:t>• Microsoft Excel (with Solver add-in) for scenario analysis and cash flow projections</w:t>
        <w:br/>
        <w:t>• DocuSign or Adobe Sign for secure digital execution of lease documents</w:t>
        <w:br/>
        <w:t>• SharePoint or Google Drive for centralized document repository with version control</w:t>
        <w:br/>
        <w:t>• CRM module (e.g., Salesforce) for tracking vendor communications and negotiation milestones</w:t>
        <w:br/>
        <w:t>• Ryxen SupplyGrid for real-time material cost tracking to inform lease affordability assessments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Initiate Request: Production submits an Equipment Lease Request Form (ELRF) to Operations Manager, detailing equipment specifications, estimated monthly usage, and required lease start date. Deadline: 60 days before desired start.</w:t>
        <w:br/>
        <w:t>2. Financial Assessment: Finance runs a lease vs. buy analysis using Sage 300, calculating net present value (NPV) and internal rate of return (IRR) over the asset's useful life. Approval threshold: Lease must show NPV advantage of at least 5% over purchase.</w:t>
        <w:br/>
        <w:t>3. Vendor Shortlisting: Procurement identifies at least three qualified lessors (e.g., DLL, GE Capital, or vendor financing arms) and issues a Request for Proposal (RFP) with standardized terms. Deadline: 45 days before start.</w:t>
        <w:br/>
        <w:t>4. Term Sheet Review: Operations and Finance jointly review proposed terms, focusing on monthly payment, residual value, maintenance clauses, and early termination penalties. Any penalty exceeding 20% of remaining payments requires CFO approval.</w:t>
        <w:br/>
        <w:t>5. Scenario Modeling: Using Excel, the team models three scenarios (best case, base case, worst case) for cash flow impact, including potential downtime and maintenance costs. Results must be documented and signed off by Controller.</w:t>
        <w:br/>
        <w:t>6. Negotiation Session: Lead negotiator (Operations Manager or CFO) conducts a formal negotiation meeting with the vendor, adhering to pre-approved BATNA (Best Alternative to a Negotiated Agreement). Concessions above $5,000/month require written CFO approval.</w:t>
        <w:br/>
        <w:t>7. Legal Review: Legal counsel reviews the final lease draft for compliance with Canadian commercial law, insurance requirements, and indemnity clauses. Turnaround time: 5 business days.</w:t>
        <w:br/>
        <w:t>8. Approval &amp; Signing: The lease is submitted for dual signature (CFO and CEO) if total commitment exceeds $100,000 CAD. For amounts under $100,000, Operations Manager and Controller sign. Execution via DocuSign within 48 hours of approval.</w:t>
        <w:br/>
        <w:t>9. Asset Tagging &amp; Onboarding: Upon lease execution, the asset is tagged in the fixed asset register (Sage 300) with lease ID, start date, and payment schedule. Production schedules installation within 14 days.</w:t>
        <w:br/>
        <w:t>10. Post-Lease Review: 30 days after commencement, Finance conducts a post-negotiation audit comparing actual terms to initial projections. Any variance &gt;5% triggers a corrective action plan.</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