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Natural Soapstone Slab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Natural soapstone, also known as steatite or soaprock, is a talc-schist metamorphic rock composed primarily of the mineral talc (Mg3Si4O10(OH)2) with varying amounts of chlorite, magnesite, and other carbonates. It is a soft, dense, non-porous natural stone with a characteristic soapy feel and high heat resistance. Soapstone is quarried in slab form from deposits in Brazil, India, Finland, and the United States (Virginia). In Canadian industrial applications, it is prized for its thermal stability, chemical inertness, and ease of fabrication.</w:t>
      </w:r>
    </w:p>
    <w:p>
      <w:pPr>
        <w:spacing w:after="120"/>
        <w:ind w:left="360"/>
      </w:pPr>
      <w:r>
        <w:rPr>
          <w:rFonts w:ascii="Arial" w:hAnsi="Arial"/>
          <w:color w:val="1E1E1E"/>
          <w:sz w:val="19"/>
        </w:rPr>
        <w:t>▪  Common uses: laboratory countertops (acid-resistant), fireplace surrounds and hearths, wood stove panels, kitchen countertops, sink basins, electrical insulators (high-voltage switchgear), foundry patterns, and architectural cladding.</w:t>
      </w:r>
    </w:p>
    <w:p>
      <w:pPr>
        <w:spacing w:after="120"/>
        <w:ind w:left="360"/>
      </w:pPr>
      <w:r>
        <w:rPr>
          <w:rFonts w:ascii="Arial" w:hAnsi="Arial"/>
          <w:color w:val="1E1E1E"/>
          <w:sz w:val="19"/>
        </w:rPr>
        <w:t>▪  Typical slab dimensions: 2600 mm x 1400 mm (104 in x 55 in) or 3000 mm x 1500 mm (118 in x 59 in), with thicknesses of 20 mm (3/4 in), 30 mm (1-1/4 in), or 40 mm (1-1/2 in).</w:t>
      </w:r>
    </w:p>
    <w:p>
      <w:pPr>
        <w:spacing w:after="120"/>
        <w:ind w:left="360"/>
      </w:pPr>
      <w:r>
        <w:rPr>
          <w:rFonts w:ascii="Arial" w:hAnsi="Arial"/>
          <w:color w:val="1E1E1E"/>
          <w:sz w:val="19"/>
        </w:rPr>
        <w:t>▪  Colour range: uniform grey to bluish-grey, often with subtle veining or darker streaks; darkens to a charcoal patina when oiled or exposed to heat.</w:t>
      </w:r>
    </w:p>
    <w:p>
      <w:r>
        <w:rPr>
          <w:rFonts w:ascii="Arial" w:hAnsi="Arial"/>
          <w:b/>
          <w:color w:val="1A9E9E"/>
          <w:sz w:val="22"/>
        </w:rPr>
        <w:t>2.0 Core Technical Properties &amp; Sizing</w:t>
      </w:r>
    </w:p>
    <w:p>
      <w:pPr>
        <w:spacing w:after="120"/>
        <w:ind w:left="360"/>
      </w:pPr>
      <w:r>
        <w:rPr>
          <w:rFonts w:ascii="Arial" w:hAnsi="Arial"/>
          <w:color w:val="1E1E1E"/>
          <w:sz w:val="19"/>
        </w:rPr>
        <w:t>▪  Density: 2.70 – 2.95 g/cm³ (typical 2.85 g/cm³ for high-talc content).</w:t>
      </w:r>
    </w:p>
    <w:p>
      <w:pPr>
        <w:spacing w:after="120"/>
        <w:ind w:left="360"/>
      </w:pPr>
      <w:r>
        <w:rPr>
          <w:rFonts w:ascii="Arial" w:hAnsi="Arial"/>
          <w:color w:val="1E1E1E"/>
          <w:sz w:val="19"/>
        </w:rPr>
        <w:t>▪  Mohs hardness: 1.0 – 2.5 (scratches easily with a steel knife; harder grades with higher chlorite content may reach 3.5).</w:t>
      </w:r>
    </w:p>
    <w:p>
      <w:pPr>
        <w:spacing w:after="120"/>
        <w:ind w:left="360"/>
      </w:pPr>
      <w:r>
        <w:rPr>
          <w:rFonts w:ascii="Arial" w:hAnsi="Arial"/>
          <w:color w:val="1E1E1E"/>
          <w:sz w:val="19"/>
        </w:rPr>
        <w:t>▪  Compressive strength: 40 – 80 MPa (ASTM C170).</w:t>
      </w:r>
    </w:p>
    <w:p>
      <w:pPr>
        <w:spacing w:after="120"/>
        <w:ind w:left="360"/>
      </w:pPr>
      <w:r>
        <w:rPr>
          <w:rFonts w:ascii="Arial" w:hAnsi="Arial"/>
          <w:color w:val="1E1E1E"/>
          <w:sz w:val="19"/>
        </w:rPr>
        <w:t>▪  Flexural strength: 8 – 15 MPa (ASTM C880).</w:t>
      </w:r>
    </w:p>
    <w:p>
      <w:pPr>
        <w:spacing w:after="120"/>
        <w:ind w:left="360"/>
      </w:pPr>
      <w:r>
        <w:rPr>
          <w:rFonts w:ascii="Arial" w:hAnsi="Arial"/>
          <w:color w:val="1E1E1E"/>
          <w:sz w:val="19"/>
        </w:rPr>
        <w:t>▪  Water absorption: &lt; 0.5% by weight (ASTM C97); effectively non-porous.</w:t>
      </w:r>
    </w:p>
    <w:p>
      <w:pPr>
        <w:spacing w:after="120"/>
        <w:ind w:left="360"/>
      </w:pPr>
      <w:r>
        <w:rPr>
          <w:rFonts w:ascii="Arial" w:hAnsi="Arial"/>
          <w:color w:val="1E1E1E"/>
          <w:sz w:val="19"/>
        </w:rPr>
        <w:t>▪  Thermal conductivity: 2.0 – 3.0 W/m·K (excellent heat retention).</w:t>
      </w:r>
    </w:p>
    <w:p>
      <w:pPr>
        <w:spacing w:after="120"/>
        <w:ind w:left="360"/>
      </w:pPr>
      <w:r>
        <w:rPr>
          <w:rFonts w:ascii="Arial" w:hAnsi="Arial"/>
          <w:color w:val="1E1E1E"/>
          <w:sz w:val="19"/>
        </w:rPr>
        <w:t>▪  Coefficient of thermal expansion: 8 – 12 x 10⁻⁶ /°C (low thermal expansion).</w:t>
      </w:r>
    </w:p>
    <w:p>
      <w:pPr>
        <w:spacing w:after="120"/>
        <w:ind w:left="360"/>
      </w:pPr>
      <w:r>
        <w:rPr>
          <w:rFonts w:ascii="Arial" w:hAnsi="Arial"/>
          <w:color w:val="1E1E1E"/>
          <w:sz w:val="19"/>
        </w:rPr>
        <w:t>▪  Melting point: 1300 – 1450 °C (talc decomposes at ~900 °C, but the rock remains structurally intact to higher temperatures).</w:t>
      </w:r>
    </w:p>
    <w:p>
      <w:pPr>
        <w:spacing w:after="120"/>
        <w:ind w:left="360"/>
      </w:pPr>
      <w:r>
        <w:rPr>
          <w:rFonts w:ascii="Arial" w:hAnsi="Arial"/>
          <w:color w:val="1E1E1E"/>
          <w:sz w:val="19"/>
        </w:rPr>
        <w:t>▪  Standard slab thickness tolerance: ± 1.5 mm for 20 mm nominal; ± 2.0 mm for 30 mm and 40 mm nominal (per ANSI A137.1).</w:t>
      </w:r>
    </w:p>
    <w:p>
      <w:pPr>
        <w:spacing w:after="120"/>
        <w:ind w:left="360"/>
      </w:pPr>
      <w:r>
        <w:rPr>
          <w:rFonts w:ascii="Arial" w:hAnsi="Arial"/>
          <w:color w:val="1E1E1E"/>
          <w:sz w:val="19"/>
        </w:rPr>
        <w:t>▪  Flatness tolerance: ≤ 1.5 mm over 1 m length (uncalibrated natural cleft surface may vary up to 3 mm).</w:t>
      </w:r>
    </w:p>
    <w:p>
      <w:pPr>
        <w:spacing w:after="120"/>
        <w:ind w:left="360"/>
      </w:pPr>
      <w:r>
        <w:rPr>
          <w:rFonts w:ascii="Arial" w:hAnsi="Arial"/>
          <w:color w:val="1E1E1E"/>
          <w:sz w:val="19"/>
        </w:rPr>
        <w:t>▪  Squareness tolerance: ≤ 1.0 mm per 300 mm edge length for cut pieces.</w:t>
      </w:r>
    </w:p>
    <w:p>
      <w:r>
        <w:rPr>
          <w:rFonts w:ascii="Arial" w:hAnsi="Arial"/>
          <w:b/>
          <w:color w:val="1A9E9E"/>
          <w:sz w:val="22"/>
        </w:rPr>
        <w:t>3.0 Processing, Machinability &amp; Application</w:t>
      </w:r>
    </w:p>
    <w:p>
      <w:pPr>
        <w:spacing w:after="120"/>
        <w:ind w:left="216"/>
      </w:pPr>
      <w:r>
        <w:rPr>
          <w:rFonts w:ascii="Arial" w:hAnsi="Arial"/>
          <w:color w:val="1E1E1E"/>
          <w:sz w:val="19"/>
        </w:rPr>
        <w:t>Soapstone is one of the easiest natural stones to fabricate due to its low hardness and lack of crystalline grain. It can be cut, drilled, shaped, and sanded with standard woodworking or stone tools. No diamond tooling is required for most operations, though carbide-tipped blades are recommended for extended life. The material does not chip or spall easily, but it is prone to scratching and must be handled with care during finishing.</w:t>
      </w:r>
    </w:p>
    <w:p>
      <w:pPr>
        <w:spacing w:after="120"/>
        <w:ind w:left="360"/>
      </w:pPr>
      <w:r>
        <w:rPr>
          <w:rFonts w:ascii="Arial" w:hAnsi="Arial"/>
          <w:color w:val="1E1E1E"/>
          <w:sz w:val="19"/>
        </w:rPr>
        <w:t>▪  Cutting: Use a circular saw with a continuous-rim carbide blade (or diamond blade for high-volume production) at 3000–4000 RPM. Feed rate: 2–4 m/min for 20 mm slab. Water cooling is optional but reduces dust.</w:t>
      </w:r>
    </w:p>
    <w:p>
      <w:pPr>
        <w:spacing w:after="120"/>
        <w:ind w:left="360"/>
      </w:pPr>
      <w:r>
        <w:rPr>
          <w:rFonts w:ascii="Arial" w:hAnsi="Arial"/>
          <w:color w:val="1E1E1E"/>
          <w:sz w:val="19"/>
        </w:rPr>
        <w:t>▪  Drilling: Standard HSS or carbide twist drills at 500–1000 RPM with light pressure. Use a pilot hole for diameters &gt; 12 mm. No coolant required.</w:t>
      </w:r>
    </w:p>
    <w:p>
      <w:pPr>
        <w:spacing w:after="120"/>
        <w:ind w:left="360"/>
      </w:pPr>
      <w:r>
        <w:rPr>
          <w:rFonts w:ascii="Arial" w:hAnsi="Arial"/>
          <w:color w:val="1E1E1E"/>
          <w:sz w:val="19"/>
        </w:rPr>
        <w:t>▪  Shaping and profiling: Use a router with a carbide bit (e.g., 1/2 in shank, 1/4 in radius) at 10,000–15,000 RPM. Multiple passes of 2–3 mm depth recommended.</w:t>
      </w:r>
    </w:p>
    <w:p>
      <w:pPr>
        <w:spacing w:after="120"/>
        <w:ind w:left="360"/>
      </w:pPr>
      <w:r>
        <w:rPr>
          <w:rFonts w:ascii="Arial" w:hAnsi="Arial"/>
          <w:color w:val="1E1E1E"/>
          <w:sz w:val="19"/>
        </w:rPr>
        <w:t>▪  Sanding and polishing: Start at 80 grit and progress to 400–600 grit for a matte finish. For a polished sheen, use 800–1500 grit wet sanding. Mineral oil or beeswax can be applied to enhance colour and provide a temporary seal.</w:t>
      </w:r>
    </w:p>
    <w:p>
      <w:pPr>
        <w:spacing w:after="120"/>
        <w:ind w:left="360"/>
      </w:pPr>
      <w:r>
        <w:rPr>
          <w:rFonts w:ascii="Arial" w:hAnsi="Arial"/>
          <w:color w:val="1E1E1E"/>
          <w:sz w:val="19"/>
        </w:rPr>
        <w:t>▪  Adhesive bonding: Use two-part epoxy (e.g., Akemi or Tenax) for seams and edge builds. Cure time: 24 hours at 20 °C. Avoid polyester resins as they may not bond well to the talc surface.</w:t>
      </w:r>
    </w:p>
    <w:p>
      <w:pPr>
        <w:spacing w:after="120"/>
        <w:ind w:left="360"/>
      </w:pPr>
      <w:r>
        <w:rPr>
          <w:rFonts w:ascii="Arial" w:hAnsi="Arial"/>
          <w:color w:val="1E1E1E"/>
          <w:sz w:val="19"/>
        </w:rPr>
        <w:t>▪  Welding/joining: Soapstone cannot be welded. Mechanical fastening with stainless steel brackets or threaded inserts is standard. For large spans, a plywood or MDF substrate is recommended to prevent flexural cracking.</w:t>
      </w:r>
    </w:p>
    <w:p>
      <w:pPr>
        <w:spacing w:after="120"/>
        <w:ind w:left="360"/>
      </w:pPr>
      <w:r>
        <w:rPr>
          <w:rFonts w:ascii="Arial" w:hAnsi="Arial"/>
          <w:color w:val="1E1E1E"/>
          <w:sz w:val="19"/>
        </w:rPr>
        <w:t>▪  Heat application: Soapstone can withstand direct contact with hot pans (up to 600 °C) without damage. Thermal shock resistance is excellent; however, rapid cooling from &gt; 300 °C may cause micro-cracking in lower-grade material.</w:t>
      </w:r>
    </w:p>
    <w:p>
      <w:r>
        <w:rPr>
          <w:rFonts w:ascii="Arial" w:hAnsi="Arial"/>
          <w:b/>
          <w:color w:val="1A9E9E"/>
          <w:sz w:val="22"/>
        </w:rPr>
        <w:t>4.0 Common Defects &amp; Quality Control</w:t>
      </w:r>
    </w:p>
    <w:p>
      <w:pPr>
        <w:spacing w:after="120"/>
        <w:ind w:left="360"/>
      </w:pPr>
      <w:r>
        <w:rPr>
          <w:rFonts w:ascii="Arial" w:hAnsi="Arial"/>
          <w:color w:val="1E1E1E"/>
          <w:sz w:val="19"/>
        </w:rPr>
        <w:t>▪  Reject if any through-body crack is visible to the naked eye under normal lighting (cracks compromise structural integrity).</w:t>
      </w:r>
    </w:p>
    <w:p>
      <w:pPr>
        <w:spacing w:after="120"/>
        <w:ind w:left="360"/>
      </w:pPr>
      <w:r>
        <w:rPr>
          <w:rFonts w:ascii="Arial" w:hAnsi="Arial"/>
          <w:color w:val="1E1E1E"/>
          <w:sz w:val="19"/>
        </w:rPr>
        <w:t>▪  Reject if surface pits or voids exceed 2 mm in diameter or 1 mm in depth, unless they can be filled with epoxy and are not in a visible area.</w:t>
      </w:r>
    </w:p>
    <w:p>
      <w:pPr>
        <w:spacing w:after="120"/>
        <w:ind w:left="360"/>
      </w:pPr>
      <w:r>
        <w:rPr>
          <w:rFonts w:ascii="Arial" w:hAnsi="Arial"/>
          <w:color w:val="1E1E1E"/>
          <w:sz w:val="19"/>
        </w:rPr>
        <w:t>▪  Reject if slab is warped more than 3 mm over 1 m length (measured on a flat surface with a feeler gauge).</w:t>
      </w:r>
    </w:p>
    <w:p>
      <w:pPr>
        <w:spacing w:after="120"/>
        <w:ind w:left="360"/>
      </w:pPr>
      <w:r>
        <w:rPr>
          <w:rFonts w:ascii="Arial" w:hAnsi="Arial"/>
          <w:color w:val="1E1E1E"/>
          <w:sz w:val="19"/>
        </w:rPr>
        <w:t>▪  Reject if there are soft, powdery zones (excessive talc concentration) that crumble under light finger pressure.</w:t>
      </w:r>
    </w:p>
    <w:p>
      <w:pPr>
        <w:spacing w:after="120"/>
        <w:ind w:left="360"/>
      </w:pPr>
      <w:r>
        <w:rPr>
          <w:rFonts w:ascii="Arial" w:hAnsi="Arial"/>
          <w:color w:val="1E1E1E"/>
          <w:sz w:val="19"/>
        </w:rPr>
        <w:t>▪  Reject if colour variation exceeds 2 shades on the RAL scale from the approved sample (for architectural matching).</w:t>
      </w:r>
    </w:p>
    <w:p>
      <w:pPr>
        <w:spacing w:after="120"/>
        <w:ind w:left="360"/>
      </w:pPr>
      <w:r>
        <w:rPr>
          <w:rFonts w:ascii="Arial" w:hAnsi="Arial"/>
          <w:color w:val="1E1E1E"/>
          <w:sz w:val="19"/>
        </w:rPr>
        <w:t>▪  Acceptable: natural veining, small mineral inclusions (dark spots up to 5 mm), and slight colour mottling. These are inherent to natural stone and not defects.</w:t>
      </w:r>
    </w:p>
    <w:p>
      <w:pPr>
        <w:spacing w:after="120"/>
        <w:ind w:left="360"/>
      </w:pPr>
      <w:r>
        <w:rPr>
          <w:rFonts w:ascii="Arial" w:hAnsi="Arial"/>
          <w:color w:val="1E1E1E"/>
          <w:sz w:val="19"/>
        </w:rPr>
        <w:t>▪  Inspection method: Visual inspection under 1000 lux lighting at 1 m distance. For critical applications, perform a water absorption test (ASTM C97) on a 50 mm x 50 mm sample from each slab.</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slabs vertically in A-frame racks with rubber or foam padding between slabs to prevent scratching. Maximum stack height: 10 slabs per rack.</w:t>
              <w:br/>
            </w:r>
            <w:r>
              <w:rPr>
                <w:rFonts w:ascii="Arial" w:hAnsi="Arial"/>
                <w:color w:val="1E1E1E"/>
                <w:sz w:val="19"/>
              </w:rPr>
              <w:t>•  Storage environment: 10–30 °C, relative humidity &lt; 70%. Avoid direct sunlight to prevent uneven thermal expansion and surface discolouration.</w:t>
              <w:br/>
            </w:r>
            <w:r>
              <w:rPr>
                <w:rFonts w:ascii="Arial" w:hAnsi="Arial"/>
                <w:color w:val="1E1E1E"/>
                <w:sz w:val="19"/>
              </w:rPr>
              <w:t>•  Shelf life: indefinite when stored properly. No FIFO rotation required as soapstone does not degrade over time.</w:t>
              <w:br/>
            </w:r>
            <w:r>
              <w:rPr>
                <w:rFonts w:ascii="Arial" w:hAnsi="Arial"/>
                <w:color w:val="1E1E1E"/>
                <w:sz w:val="19"/>
              </w:rPr>
              <w:t>•  Handling: Use suction cup lifters (rated for 50 kg per cup) or two-person manual lift for slabs up to 30 mm x 1.5 m² (approx. 130 kg). Always wear steel-toed boots and cut-resistant gloves.</w:t>
              <w:br/>
            </w:r>
            <w:r>
              <w:rPr>
                <w:rFonts w:ascii="Arial" w:hAnsi="Arial"/>
                <w:color w:val="1E1E1E"/>
                <w:sz w:val="19"/>
              </w:rPr>
              <w:t>•  WHMIS classification: Natural soapstone is not classified as a hazardous product under WHMIS 2015 (no GHS pictograms required). However, respirable crystalline silica may be present in trace amounts (&lt; 0.1% by weight) in some quarries.</w:t>
              <w:br/>
            </w:r>
            <w:r>
              <w:rPr>
                <w:rFonts w:ascii="Arial" w:hAnsi="Arial"/>
                <w:color w:val="1E1E1E"/>
                <w:sz w:val="19"/>
              </w:rPr>
              <w:t>•  Dust control: During cutting and sanding, use wet methods or a HEPA-filtered vacuum to minimize airborne particulates. If dry sanding, wear a N95 respirator (NIOSH approved).</w:t>
              <w:br/>
            </w:r>
            <w:r>
              <w:rPr>
                <w:rFonts w:ascii="Arial" w:hAnsi="Arial"/>
                <w:color w:val="1E1E1E"/>
                <w:sz w:val="19"/>
              </w:rPr>
              <w:t>•  PPE requirements: Safety glasses (ANSI Z87.1) and hearing protection (earplugs or muffs, NRR ≥ 25 dB) during machining. Cut-resistant gloves (ANSI A4 level) when handling raw slabs.</w:t>
              <w:br/>
            </w:r>
            <w:r>
              <w:rPr>
                <w:rFonts w:ascii="Arial" w:hAnsi="Arial"/>
                <w:color w:val="1E1E1E"/>
                <w:sz w:val="19"/>
              </w:rPr>
              <w:t>•  First aid: If dust contacts eyes, flush with water for 15 minutes. If skin irritation occurs, wash with mild soap and water. No specific medical monitoring required.</w:t>
              <w:br/>
            </w:r>
            <w:r>
              <w:rPr>
                <w:rFonts w:ascii="Arial" w:hAnsi="Arial"/>
                <w:color w:val="1E1E1E"/>
                <w:sz w:val="19"/>
              </w:rPr>
              <w:t>•  Disposal: Soapstone is inert and can be disposed of as construction and demolition waste. Check local regulations for landfill acceptance.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