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Oriented Strand Board (OSB) Industrial Grade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Oriented Strand Board (OSB) Industrial Grade is an engineered wood panel manufactured from rectangular wood strands arranged in cross-oriented layers and bonded with moisture-resistant thermosetting resin under heat and pressure. It is classified per CSA O437 and PS 2 standards for structural applications. Industrial-grade OSB is distinguished by tighter thickness tolerances, higher density, and enhanced dimensional stability compared to standard sheathing grades.</w:t>
      </w:r>
    </w:p>
    <w:p>
      <w:pPr>
        <w:spacing w:after="120"/>
        <w:ind w:left="216"/>
      </w:pPr>
      <w:r>
        <w:rPr>
          <w:rFonts w:ascii="Arial" w:hAnsi="Arial"/>
          <w:color w:val="1E1E1E"/>
          <w:sz w:val="19"/>
        </w:rPr>
        <w:t>Common industrial applications include: structural wall and roof sheathing, subflooring, I-joist webs, pallet decking, furniture components, concrete formwork, and packaging crates. It is widely used in Canadian construction, millwork, and material handling sectors where cost-effective, high-strength panel products are required.</w:t>
      </w:r>
    </w:p>
    <w:p>
      <w:r>
        <w:rPr>
          <w:rFonts w:ascii="Arial" w:hAnsi="Arial"/>
          <w:b/>
          <w:color w:val="1A9E9E"/>
          <w:sz w:val="22"/>
        </w:rPr>
        <w:t>2.0 Core Technical Properties &amp; Sizing</w:t>
      </w:r>
    </w:p>
    <w:p>
      <w:pPr>
        <w:spacing w:after="120"/>
        <w:ind w:left="360"/>
      </w:pPr>
      <w:r>
        <w:rPr>
          <w:rFonts w:ascii="Arial" w:hAnsi="Arial"/>
          <w:color w:val="1E1E1E"/>
          <w:sz w:val="19"/>
        </w:rPr>
        <w:t>▪  Density: 600–720 kg/m³ (typical range for industrial grade; higher density improves fastener holding and stiffness).</w:t>
      </w:r>
    </w:p>
    <w:p>
      <w:pPr>
        <w:spacing w:after="120"/>
        <w:ind w:left="360"/>
      </w:pPr>
      <w:r>
        <w:rPr>
          <w:rFonts w:ascii="Arial" w:hAnsi="Arial"/>
          <w:color w:val="1E1E1E"/>
          <w:sz w:val="19"/>
        </w:rPr>
        <w:t>▪  Thickness tolerance: ±0.4 mm for panels ≤15 mm; ±0.5 mm for panels &gt;15 mm (per CSA O437).</w:t>
      </w:r>
    </w:p>
    <w:p>
      <w:pPr>
        <w:spacing w:after="120"/>
        <w:ind w:left="360"/>
      </w:pPr>
      <w:r>
        <w:rPr>
          <w:rFonts w:ascii="Arial" w:hAnsi="Arial"/>
          <w:color w:val="1E1E1E"/>
          <w:sz w:val="19"/>
        </w:rPr>
        <w:t>▪  Standard panel sizes: 1220 mm x 2440 mm (4 ft x 8 ft); also available in 1220 x 2745 mm and metric equivalents.</w:t>
      </w:r>
    </w:p>
    <w:p>
      <w:pPr>
        <w:spacing w:after="120"/>
        <w:ind w:left="360"/>
      </w:pPr>
      <w:r>
        <w:rPr>
          <w:rFonts w:ascii="Arial" w:hAnsi="Arial"/>
          <w:color w:val="1E1E1E"/>
          <w:sz w:val="19"/>
        </w:rPr>
        <w:t>▪  Squareness tolerance: diagonal difference ≤ 3 mm for 1220 x 2440 mm panel.</w:t>
      </w:r>
    </w:p>
    <w:p>
      <w:pPr>
        <w:spacing w:after="120"/>
        <w:ind w:left="360"/>
      </w:pPr>
      <w:r>
        <w:rPr>
          <w:rFonts w:ascii="Arial" w:hAnsi="Arial"/>
          <w:color w:val="1E1E1E"/>
          <w:sz w:val="19"/>
        </w:rPr>
        <w:t>▪  Edge straightness: deviation ≤ 1.5 mm over 2440 mm length.</w:t>
      </w:r>
    </w:p>
    <w:p>
      <w:pPr>
        <w:spacing w:after="120"/>
        <w:ind w:left="360"/>
      </w:pPr>
      <w:r>
        <w:rPr>
          <w:rFonts w:ascii="Arial" w:hAnsi="Arial"/>
          <w:color w:val="1E1E1E"/>
          <w:sz w:val="19"/>
        </w:rPr>
        <w:t>▪  Modulus of Elasticity (MOE): ≥ 5500 MPa (parallel to major axis) per CSA O437.</w:t>
      </w:r>
    </w:p>
    <w:p>
      <w:pPr>
        <w:spacing w:after="120"/>
        <w:ind w:left="360"/>
      </w:pPr>
      <w:r>
        <w:rPr>
          <w:rFonts w:ascii="Arial" w:hAnsi="Arial"/>
          <w:color w:val="1E1E1E"/>
          <w:sz w:val="19"/>
        </w:rPr>
        <w:t>▪  Modulus of Rupture (MOR): ≥ 29 MPa (parallel to major axis).</w:t>
      </w:r>
    </w:p>
    <w:p>
      <w:pPr>
        <w:spacing w:after="120"/>
        <w:ind w:left="360"/>
      </w:pPr>
      <w:r>
        <w:rPr>
          <w:rFonts w:ascii="Arial" w:hAnsi="Arial"/>
          <w:color w:val="1E1E1E"/>
          <w:sz w:val="19"/>
        </w:rPr>
        <w:t>▪  Internal bond (IB) strength: ≥ 0.34 MPa after 2-hour boil test (industrial grade).</w:t>
      </w:r>
    </w:p>
    <w:p>
      <w:pPr>
        <w:spacing w:after="120"/>
        <w:ind w:left="360"/>
      </w:pPr>
      <w:r>
        <w:rPr>
          <w:rFonts w:ascii="Arial" w:hAnsi="Arial"/>
          <w:color w:val="1E1E1E"/>
          <w:sz w:val="19"/>
        </w:rPr>
        <w:t>▪  Thickness swell (24-hour water soak): ≤ 15% for industrial grade panels.</w:t>
      </w:r>
    </w:p>
    <w:p>
      <w:pPr>
        <w:spacing w:after="120"/>
        <w:ind w:left="360"/>
      </w:pPr>
      <w:r>
        <w:rPr>
          <w:rFonts w:ascii="Arial" w:hAnsi="Arial"/>
          <w:color w:val="1E1E1E"/>
          <w:sz w:val="19"/>
        </w:rPr>
        <w:t>▪  Moisture content at time of manufacture: 5–9% (oven-dry basis).</w:t>
      </w:r>
    </w:p>
    <w:p>
      <w:pPr>
        <w:spacing w:after="120"/>
        <w:ind w:left="360"/>
      </w:pPr>
      <w:r>
        <w:rPr>
          <w:rFonts w:ascii="Arial" w:hAnsi="Arial"/>
          <w:color w:val="1E1E1E"/>
          <w:sz w:val="19"/>
        </w:rPr>
        <w:t>▪  Formaldehyde emission: ≤ 0.11 ppm (CARB Phase 2 compliant for interior applications).</w:t>
      </w:r>
    </w:p>
    <w:p>
      <w:r>
        <w:rPr>
          <w:rFonts w:ascii="Arial" w:hAnsi="Arial"/>
          <w:b/>
          <w:color w:val="1A9E9E"/>
          <w:sz w:val="22"/>
        </w:rPr>
        <w:t>3.0 Processing, Machinability &amp; Application</w:t>
      </w:r>
    </w:p>
    <w:p>
      <w:pPr>
        <w:spacing w:after="120"/>
        <w:ind w:left="216"/>
      </w:pPr>
      <w:r>
        <w:rPr>
          <w:rFonts w:ascii="Arial" w:hAnsi="Arial"/>
          <w:color w:val="1E1E1E"/>
          <w:sz w:val="19"/>
        </w:rPr>
        <w:t>Industrial-grade OSB can be cut, routed, drilled, and sanded using standard woodworking tools. Due to the abrasive nature of the resin and wood strands, carbide-tipped tooling is strongly recommended for extended tool life. The material is not suitable for fine joinery but performs well in structural and utility applications.</w:t>
      </w:r>
    </w:p>
    <w:p>
      <w:pPr>
        <w:spacing w:after="120"/>
        <w:ind w:left="360"/>
      </w:pPr>
      <w:r>
        <w:rPr>
          <w:rFonts w:ascii="Arial" w:hAnsi="Arial"/>
          <w:color w:val="1E1E1E"/>
          <w:sz w:val="19"/>
        </w:rPr>
        <w:t>▪  Cutting: Use carbide-tipped circular saw blades with 40–60 teeth for clean edges. Feed rate: 10–15 m/min for 3.2 kW saw. Avoid excessive feed to prevent edge fraying.</w:t>
      </w:r>
    </w:p>
    <w:p>
      <w:pPr>
        <w:spacing w:after="120"/>
        <w:ind w:left="360"/>
      </w:pPr>
      <w:r>
        <w:rPr>
          <w:rFonts w:ascii="Arial" w:hAnsi="Arial"/>
          <w:color w:val="1E1E1E"/>
          <w:sz w:val="19"/>
        </w:rPr>
        <w:t>▪  Routing: Use carbide-tipped router bits with 1/2-inch shank. Recommended spindle speed: 18,000–22,000 RPM. Depth of cut per pass: ≤ 3 mm to minimize tear-out.</w:t>
      </w:r>
    </w:p>
    <w:p>
      <w:pPr>
        <w:spacing w:after="120"/>
        <w:ind w:left="360"/>
      </w:pPr>
      <w:r>
        <w:rPr>
          <w:rFonts w:ascii="Arial" w:hAnsi="Arial"/>
          <w:color w:val="1E1E1E"/>
          <w:sz w:val="19"/>
        </w:rPr>
        <w:t>▪  Drilling: Standard HSS or carbide twist drills. For screw pilot holes, use drill diameter 1.6 mm less than screw shank. For through-holes, use drill diameter equal to fastener OD.</w:t>
      </w:r>
    </w:p>
    <w:p>
      <w:pPr>
        <w:spacing w:after="120"/>
        <w:ind w:left="360"/>
      </w:pPr>
      <w:r>
        <w:rPr>
          <w:rFonts w:ascii="Arial" w:hAnsi="Arial"/>
          <w:color w:val="1E1E1E"/>
          <w:sz w:val="19"/>
        </w:rPr>
        <w:t>▪  Sanding: Use open-coat aluminum oxide abrasive belts (80–120 grit). Dust extraction mandatory due to fine resin dust. Avoid over-sanding which can expose strand layers.</w:t>
      </w:r>
    </w:p>
    <w:p>
      <w:pPr>
        <w:spacing w:after="120"/>
        <w:ind w:left="360"/>
      </w:pPr>
      <w:r>
        <w:rPr>
          <w:rFonts w:ascii="Arial" w:hAnsi="Arial"/>
          <w:color w:val="1E1E1E"/>
          <w:sz w:val="19"/>
        </w:rPr>
        <w:t>▪  Fastening: Use coated or galvanized screws (deck screws or structural screws). Minimum edge distance: 10 mm. Pre-drilling recommended for panels &gt; 18 mm thickness.</w:t>
      </w:r>
    </w:p>
    <w:p>
      <w:pPr>
        <w:spacing w:after="120"/>
        <w:ind w:left="360"/>
      </w:pPr>
      <w:r>
        <w:rPr>
          <w:rFonts w:ascii="Arial" w:hAnsi="Arial"/>
          <w:color w:val="1E1E1E"/>
          <w:sz w:val="19"/>
        </w:rPr>
        <w:t>▪  Gluing: Use polyurethane or phenol-resorcinol adhesives for structural bonds. Clamp pressure: 0.7–1.0 MPa. Open assembly time: ≤ 10 minutes at 20°C. Cure at 20°C for minimum 24 hours before load application.</w:t>
      </w:r>
    </w:p>
    <w:p>
      <w:pPr>
        <w:spacing w:after="120"/>
        <w:ind w:left="360"/>
      </w:pPr>
      <w:r>
        <w:rPr>
          <w:rFonts w:ascii="Arial" w:hAnsi="Arial"/>
          <w:color w:val="1E1E1E"/>
          <w:sz w:val="19"/>
        </w:rPr>
        <w:t>▪  Painting/Finishing: OSB has high absorbency. Apply one coat of primer/sealer before painting. Use latex or oil-based paints. Not recommended for high-moisture environments without proper sealing.</w:t>
      </w:r>
    </w:p>
    <w:p>
      <w:r>
        <w:rPr>
          <w:rFonts w:ascii="Arial" w:hAnsi="Arial"/>
          <w:b/>
          <w:color w:val="1A9E9E"/>
          <w:sz w:val="22"/>
        </w:rPr>
        <w:t>4.0 Common Defects &amp; Quality Control</w:t>
      </w:r>
    </w:p>
    <w:p>
      <w:pPr>
        <w:spacing w:after="120"/>
        <w:ind w:left="360"/>
      </w:pPr>
      <w:r>
        <w:rPr>
          <w:rFonts w:ascii="Arial" w:hAnsi="Arial"/>
          <w:color w:val="1E1E1E"/>
          <w:sz w:val="19"/>
        </w:rPr>
        <w:t>▪  Reject if delamination is visible at panel edges or surface (separation between layers).</w:t>
      </w:r>
    </w:p>
    <w:p>
      <w:pPr>
        <w:spacing w:after="120"/>
        <w:ind w:left="360"/>
      </w:pPr>
      <w:r>
        <w:rPr>
          <w:rFonts w:ascii="Arial" w:hAnsi="Arial"/>
          <w:color w:val="1E1E1E"/>
          <w:sz w:val="19"/>
        </w:rPr>
        <w:t>▪  Reject if surface voids or depressions exceed 3 mm in depth or 25 mm in diameter.</w:t>
      </w:r>
    </w:p>
    <w:p>
      <w:pPr>
        <w:spacing w:after="120"/>
        <w:ind w:left="360"/>
      </w:pPr>
      <w:r>
        <w:rPr>
          <w:rFonts w:ascii="Arial" w:hAnsi="Arial"/>
          <w:color w:val="1E1E1E"/>
          <w:sz w:val="19"/>
        </w:rPr>
        <w:t>▪  Reject if panel is out-of-square by more than 3 mm diagonal difference on 1220 x 2440 mm panel.</w:t>
      </w:r>
    </w:p>
    <w:p>
      <w:pPr>
        <w:spacing w:after="120"/>
        <w:ind w:left="360"/>
      </w:pPr>
      <w:r>
        <w:rPr>
          <w:rFonts w:ascii="Arial" w:hAnsi="Arial"/>
          <w:color w:val="1E1E1E"/>
          <w:sz w:val="19"/>
        </w:rPr>
        <w:t>▪  Reject if edge waviness or bow exceeds 1.5 mm over 2440 mm length.</w:t>
      </w:r>
    </w:p>
    <w:p>
      <w:pPr>
        <w:spacing w:after="120"/>
        <w:ind w:left="360"/>
      </w:pPr>
      <w:r>
        <w:rPr>
          <w:rFonts w:ascii="Arial" w:hAnsi="Arial"/>
          <w:color w:val="1E1E1E"/>
          <w:sz w:val="19"/>
        </w:rPr>
        <w:t>▪  Reject if thickness variation exceeds ±0.5 mm across the panel width.</w:t>
      </w:r>
    </w:p>
    <w:p>
      <w:pPr>
        <w:spacing w:after="120"/>
        <w:ind w:left="360"/>
      </w:pPr>
      <w:r>
        <w:rPr>
          <w:rFonts w:ascii="Arial" w:hAnsi="Arial"/>
          <w:color w:val="1E1E1E"/>
          <w:sz w:val="19"/>
        </w:rPr>
        <w:t>▪  Reject if moisture content is above 12% at time of delivery (risk of mold and dimensional instability).</w:t>
      </w:r>
    </w:p>
    <w:p>
      <w:pPr>
        <w:spacing w:after="120"/>
        <w:ind w:left="360"/>
      </w:pPr>
      <w:r>
        <w:rPr>
          <w:rFonts w:ascii="Arial" w:hAnsi="Arial"/>
          <w:color w:val="1E1E1E"/>
          <w:sz w:val="19"/>
        </w:rPr>
        <w:t>▪  Reject if there are loose or missing strands that create a hole larger than 10 mm in any dimension.</w:t>
      </w:r>
    </w:p>
    <w:p>
      <w:pPr>
        <w:spacing w:after="120"/>
        <w:ind w:left="360"/>
      </w:pPr>
      <w:r>
        <w:rPr>
          <w:rFonts w:ascii="Arial" w:hAnsi="Arial"/>
          <w:color w:val="1E1E1E"/>
          <w:sz w:val="19"/>
        </w:rPr>
        <w:t>▪  Reject if panel shows signs of fungal growth, blue stain, or insect damage.</w:t>
      </w:r>
    </w:p>
    <w:p>
      <w:pPr>
        <w:spacing w:after="120"/>
        <w:ind w:left="360"/>
      </w:pPr>
      <w:r>
        <w:rPr>
          <w:rFonts w:ascii="Arial" w:hAnsi="Arial"/>
          <w:color w:val="1E1E1E"/>
          <w:sz w:val="19"/>
        </w:rPr>
        <w:t>▪  Acceptable warp: maximum 1.5 mm over 1220 mm width (crown or cup). Reject if warp exceeds 3 mm.</w:t>
      </w:r>
    </w:p>
    <w:p>
      <w:pPr>
        <w:spacing w:after="120"/>
        <w:ind w:left="360"/>
      </w:pPr>
      <w:r>
        <w:rPr>
          <w:rFonts w:ascii="Arial" w:hAnsi="Arial"/>
          <w:color w:val="1E1E1E"/>
          <w:sz w:val="19"/>
        </w:rPr>
        <w:t>▪  Sampling: Per ASTM D1037, test one panel per 1000 panels or per production lot for internal bond and thickness swell.</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panels flat on a level, dry surface. Use 100 mm x 100 mm stickers spaced at 600 mm centres to allow airflow between stacks.</w:t>
              <w:br/>
            </w:r>
            <w:r>
              <w:rPr>
                <w:rFonts w:ascii="Arial" w:hAnsi="Arial"/>
                <w:color w:val="1E1E1E"/>
                <w:sz w:val="19"/>
              </w:rPr>
              <w:t>•  Indoor storage preferred. If stored outdoors, cover with breathable tarp (not plastic) to prevent moisture entrapment. Elevate stack minimum 150 mm off ground.</w:t>
              <w:br/>
            </w:r>
            <w:r>
              <w:rPr>
                <w:rFonts w:ascii="Arial" w:hAnsi="Arial"/>
                <w:color w:val="1E1E1E"/>
                <w:sz w:val="19"/>
              </w:rPr>
              <w:t>•  Environmental conditions: 15–25°C, 40–60% relative humidity. Avoid direct sunlight and heat sources.</w:t>
              <w:br/>
            </w:r>
            <w:r>
              <w:rPr>
                <w:rFonts w:ascii="Arial" w:hAnsi="Arial"/>
                <w:color w:val="1E1E1E"/>
                <w:sz w:val="19"/>
              </w:rPr>
              <w:t>•  Shelf life: 12 months from date of manufacture if stored per guidelines. After 12 months, test moisture content and internal bond before use.</w:t>
              <w:br/>
            </w:r>
            <w:r>
              <w:rPr>
                <w:rFonts w:ascii="Arial" w:hAnsi="Arial"/>
                <w:color w:val="1E1E1E"/>
                <w:sz w:val="19"/>
              </w:rPr>
              <w:t>•  FIFO protocol: Rotate stock by manufacturing date. Label each stack with date received and lot number.</w:t>
              <w:br/>
            </w:r>
            <w:r>
              <w:rPr>
                <w:rFonts w:ascii="Arial" w:hAnsi="Arial"/>
                <w:color w:val="1E1E1E"/>
                <w:sz w:val="19"/>
              </w:rPr>
              <w:t>•  WHMIS classification: Not classified as a hazardous product under WHMIS 2015 when in solid panel form. Dust generated during machining is classified as a hazardous substance.</w:t>
              <w:br/>
            </w:r>
            <w:r>
              <w:rPr>
                <w:rFonts w:ascii="Arial" w:hAnsi="Arial"/>
                <w:color w:val="1E1E1E"/>
                <w:sz w:val="19"/>
              </w:rPr>
              <w:t>•  Hazards of machining dust: Wood dust (CAS 9004-34-6) and resin dust may cause respiratory irritation, skin sensitization, and are suspected carcinogens (IARC Group 1 for wood dust).</w:t>
              <w:br/>
            </w:r>
            <w:r>
              <w:rPr>
                <w:rFonts w:ascii="Arial" w:hAnsi="Arial"/>
                <w:color w:val="1E1E1E"/>
                <w:sz w:val="19"/>
              </w:rPr>
              <w:t>•  Mandatory PPE during machining: NIOSH-approved N95 respirator or half-face respirator with P100 filters, safety glasses with side shields, hearing protection (if noise &gt; 85 dBA), and cut-resistant gloves (ANSI A2 or higher) for handling.</w:t>
              <w:br/>
            </w:r>
            <w:r>
              <w:rPr>
                <w:rFonts w:ascii="Arial" w:hAnsi="Arial"/>
                <w:color w:val="1E1E1E"/>
                <w:sz w:val="19"/>
              </w:rPr>
              <w:t>•  Engineering controls: Use local exhaust ventilation (LEV) with minimum capture velocity of 1 m/s at source. Dust collection system must meet NFPA 664 standards for combustible dust.</w:t>
              <w:br/>
            </w:r>
            <w:r>
              <w:rPr>
                <w:rFonts w:ascii="Arial" w:hAnsi="Arial"/>
                <w:color w:val="1E1E1E"/>
                <w:sz w:val="19"/>
              </w:rPr>
              <w:t>•  First aid: If dust contacts eyes, flush with water for 15 minutes. If skin irritation occurs, wash with mild soap and water. If inhaled, move to fresh air. Seek medical attention if symptoms persist.</w:t>
              <w:br/>
            </w:r>
            <w:r>
              <w:rPr>
                <w:rFonts w:ascii="Arial" w:hAnsi="Arial"/>
                <w:color w:val="1E1E1E"/>
                <w:sz w:val="19"/>
              </w:rPr>
              <w:t>•  Disposal: Non-hazardous solid waste. Recycle through wood waste stream or dispose in accordance with local municipal bylaws. Do not burn as treated resins may release toxic fumes.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