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PETG (Polyethylene Terephthalate Glycol) Sheet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PETG (Polyethylene Terephthalate Glycol) is an amorphous thermoplastic polyester known for its excellent impact resistance, clarity, and ease of fabrication. It is a glycol-modified variant of PET, which reduces crystallization and improves processing characteristics. PETG sheet is widely used in point-of-purchase displays, signage, machine guards, medical enclosures, and food contact applications due to its FDA compliance and UV stability.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Common industrial applications include: retail displays, protective glazing, thermoformed parts, medical device housings, and chemical-resistant liners. It is often specified as an alternative to acrylic or polycarbonate when higher impact strength than acrylic or better chemical resistance than polycarbonate is required.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1.27 g/cm³ (nominal)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 at yield: 50 MPa (ASTM D638)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Flexural modulus: 2.1 GPa (ASTM D790)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Izod impact strength (notched): 100 J/m (ASTM D256)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Heat deflection temperature (HDT) at 1.82 MPa: 70°C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Vicat softening point: 85°C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Light transmission (clear grade): 88% (ASTM D1003)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sheet sizes: 1220 mm x 2440 mm (4 ft x 8 ft), 1524 mm x 3048 mm (5 ft x 10 ft)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Thickness range: 0.5 mm to 25 mm (standard increments: 1.5 mm, 3 mm, 4.5 mm, 6 mm, 9.5 mm, 12.7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Thickness tolerance: ±0.25 mm for sheets up to 6 mm; ±0.5 mm for sheets 6 mm to 12.7 mm; ±0.75 mm for sheets above 12.7 mm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Flatness tolerance: 3 mm over 1 m length (unconstrained)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Hardness: Rockwell R115 (ASTM D785)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PETG is highly machinable and can be cut, drilled, routed, and thermoformed with standard woodworking or metalworking tools. It does not require post-processing annealing for most applications. For best results, use sharp carbide or high-speed steel (HSS) tooling with a 10-15 degree rake angle. Avoid excessive heat buildup to prevent gumming or melting.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Sawing: Use carbide-tipped blades with 10-12 teeth per inch (TPI) for sheet thickness up to 6 mm; for thicker sheets, use 6-8 TPI. Feed rate: 3-5 m/min for circular saws.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Drilling: Use standard twist drills with a 118-degree point angle. For holes over 6 mm diameter, use a step drill or peck drilling to reduce heat. Spindle speed: 1500-2500 RPM. Feed: 0.1-0.2 mm/rev.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Routing: Use single-flute or two-flute carbide upcut spiral bits. Spindle speed: 12,000-18,000 RPM. Feed rate: 2-4 m/min for 6 mm sheet. Climb milling recommended for clean edges.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Thermoforming: Preheat sheet to 150-170°C (302-338°F) in a convection oven. Dwell time: 2-4 minutes per mm of thickness. Use silicone or aluminum molds. Shrinkage: 0.5-1.5% depending on draw ratio.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Gluing: Use solvent-based adhesives such as methylene chloride or specialized PETG cements. Apply sparingly and clamp for 5-10 minutes. Full cure in 24 hours at 20°C.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Printing: PETG accepts screen printing, UV printing, and digital printing with proper surface treatment (flame or corona treatment recommended for adhesion).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Laser cutting: CO2 laser (10.6 µm) at 100-200 W. Cutting speed: 10-30 mm/s for 3 mm sheet. Edge may yellow; use compressed air assist to reduce discoloration.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scratches exceed 0.1 mm depth or are visible from 1 m distance under normal lighting.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internal bubbles or voids are larger than 0.5 mm in diameter or more than 3 per 100 cm².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thickness variation exceeds ±0.5 mm for sheets up to 6 mm, or ±1.0 mm for thicker sheets, measured at four corners and center.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sheet is out-of-square by more than 2 mm over 1 m diagonal.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warpage exceeds 5 mm over 1 m length when laid flat on a reference surface.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discoloration (yellowing or cloudiness) is visible under standard lighting conditions.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contamination (dust, oil, or foreign particles) is embedded in the sheet surface.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Acceptable surface finish: Gloss level 90+ GU (60° angle) for clear grades; matte grades as specified.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sheets vertically in a dry, clean environment at 15-25°C (59-77°F) and relative humidity below 60%.</w:t>
              <w:br/>
            </w:r>
            <w:r>
              <w:rPr>
                <w:rFonts w:ascii="Arial" w:hAnsi="Arial"/>
                <w:color w:val="1E1E1E"/>
                <w:sz w:val="19"/>
              </w:rPr>
              <w:t>•  Keep protective film intact until fabrication to prevent surface damage. Remove film within 30 days of receipt to avoid adhesive residue.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12 months from date of manufacture when stored as recommended. FIFO rotation mandatory.</w:t>
              <w:br/>
            </w:r>
            <w:r>
              <w:rPr>
                <w:rFonts w:ascii="Arial" w:hAnsi="Arial"/>
                <w:color w:val="1E1E1E"/>
                <w:sz w:val="19"/>
              </w:rPr>
              <w:t>•  Avoid direct sunlight and UV exposure during storage to prevent yellowing.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Not classified as a hazardous material under WHMIS 2015. However, dust generated during machining may be a respiratory irritant.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 during fabrication: Safety glasses with side shields, cut-resistant gloves (ANSI A2 or higher), and dust mask (N95) when sanding or machining.</w:t>
              <w:br/>
            </w:r>
            <w:r>
              <w:rPr>
                <w:rFonts w:ascii="Arial" w:hAnsi="Arial"/>
                <w:color w:val="1E1E1E"/>
                <w:sz w:val="19"/>
              </w:rPr>
              <w:t>•  Fire hazard: PETG is combustible. Keep away from open flames and high-temperature sources. Use Class A or B fire extinguishers.</w:t>
              <w:br/>
            </w:r>
            <w:r>
              <w:rPr>
                <w:rFonts w:ascii="Arial" w:hAnsi="Arial"/>
                <w:color w:val="1E1E1E"/>
                <w:sz w:val="19"/>
              </w:rPr>
              <w:t>•  Disposal: Recycle as plastic #1 (PET) where facilities exist. Incinerate with energy recovery in permitted facilities. Do not landfill.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