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200"/>
        <w:gridCol w:w="3600"/>
      </w:tblGrid>
      <w:tr>
        <w:tc>
          <w:tcPr>
            <w:tcW w:type="dxa" w:w="5400"/>
          </w:tcPr>
          <w:p>
            <w:r>
              <w:rPr>
                <w:rFonts w:ascii="Arial" w:hAnsi="Arial"/>
                <w:b/>
                <w:color w:val="1A9E9E"/>
                <w:sz w:val="22"/>
              </w:rPr>
              <w:t>[ INSERT YOUR COMPANY NAME HERE ]</w:t>
              <w:br/>
            </w:r>
            <w:r>
              <w:rPr>
                <w:rFonts w:ascii="Arial" w:hAnsi="Arial"/>
                <w:color w:val="787878"/>
                <w:sz w:val="19"/>
              </w:rPr>
              <w:t>Technical Material Specification</w:t>
            </w:r>
          </w:p>
        </w:tc>
        <w:tc>
          <w:tcPr>
            <w:tcW w:type="dxa" w:w="5400"/>
          </w:tcPr>
          <w:p>
            <w:pPr>
              <w:jc w:val="right"/>
            </w:pPr>
            <w:r>
              <w:rPr>
                <w:rFonts w:ascii="Arial" w:hAnsi="Arial"/>
                <w:color w:val="787878"/>
                <w:sz w:val="18"/>
              </w:rPr>
              <w:t>Created By: ____________________</w:t>
              <w:br/>
              <w:t>Verified By: ____________________</w:t>
              <w:br/>
              <w:t>Version: 1.0</w:t>
            </w:r>
          </w:p>
        </w:tc>
      </w:tr>
    </w:tbl>
    <w:p>
      <w:pPr>
        <w:spacing w:after="280"/>
        <w:pBdr>
          <w:bottom w:val="single" w:sz="8" w:space="8" w:color="1A9E9E"/>
        </w:pBdr>
      </w:pPr>
    </w:p>
    <w:p>
      <w:pPr>
        <w:spacing w:after="240"/>
      </w:pPr>
      <w:r>
        <w:rPr>
          <w:rFonts w:ascii="Arial" w:hAnsi="Arial"/>
          <w:b/>
          <w:color w:val="1E1E1E"/>
          <w:sz w:val="30"/>
        </w:rPr>
        <w:t>PVA Type II and Type III Wood Glue: Technical Material Specification</w:t>
      </w:r>
    </w:p>
    <w:p>
      <w:r>
        <w:rPr>
          <w:rFonts w:ascii="Arial" w:hAnsi="Arial"/>
          <w:b/>
          <w:color w:val="1A9E9E"/>
          <w:sz w:val="22"/>
        </w:rPr>
        <w:t>1.0 Material Overview &amp; Common Uses</w:t>
      </w:r>
    </w:p>
    <w:p>
      <w:pPr>
        <w:spacing w:after="120"/>
        <w:ind w:left="216"/>
      </w:pPr>
      <w:r>
        <w:rPr>
          <w:rFonts w:ascii="Arial" w:hAnsi="Arial"/>
          <w:color w:val="1E1E1E"/>
          <w:sz w:val="19"/>
        </w:rPr>
        <w:t>Polyvinyl acetate (PVA) wood glue is a water-based emulsion adhesive widely used in woodworking and furniture manufacturing. Type II and Type III grades denote increasing water resistance per ASTM D-4236 and ANSI/HPVA HP-1 standards. Type II is suitable for interior applications with occasional moisture exposure, while Type III is rated for exterior and marine-grade bonding where prolonged water immersion may occur.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Primary applications: furniture assembly, cabinetry, millwork, engineered wood products, and joinery.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Type II: interior doors, window casings, baseboards, and non-structural furniture.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Type III: exterior decking, marine plywood, outdoor furniture, and structural laminated beams.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Commonly used in cold press, hot press, and RF (radio frequency) gluing processes.</w:t>
      </w:r>
    </w:p>
    <w:p>
      <w:r>
        <w:rPr>
          <w:rFonts w:ascii="Arial" w:hAnsi="Arial"/>
          <w:b/>
          <w:color w:val="1A9E9E"/>
          <w:sz w:val="22"/>
        </w:rPr>
        <w:t>2.0 Core Technical Properties &amp; Sizing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Density: 1.05–1.10 g/cm³ at 25°C.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Viscosity: 2,000–10,000 cP (Brookfield, spindle #4 at 20 rpm) depending on formulation.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pH: 4.0–5.5 (acidic emulsion).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Solids content: 45–55% by weight.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Open time: 5–15 minutes at 21°C and 50% relative humidity.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Closed assembly time: 10–30 minutes (longer for Type III due to slower set).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Minimum film-forming temperature (MFFT): 5°C (Type II), 10°C (Type III).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Water resistance: Type II passes 3-cycle soak test (24 hr soak + dry); Type III passes 4-cycle boil test (4 hr boil + dry).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Shear strength (wood-to-wood, maple): &gt; 10 MPa after 7-day cure at 23°C/50% RH.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Standard packaging: 1 L, 4 L, 18 L pails; 205 L drums; 1,000 L IBC totes.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Shelf life: 12 months from date of manufacture in unopened containers stored at 5–30°C.</w:t>
      </w:r>
    </w:p>
    <w:p>
      <w:r>
        <w:rPr>
          <w:rFonts w:ascii="Arial" w:hAnsi="Arial"/>
          <w:b/>
          <w:color w:val="1A9E9E"/>
          <w:sz w:val="22"/>
        </w:rPr>
        <w:t>3.0 Processing, Machinability &amp; Application</w:t>
      </w:r>
    </w:p>
    <w:p>
      <w:pPr>
        <w:spacing w:after="120"/>
        <w:ind w:left="216"/>
      </w:pPr>
      <w:r>
        <w:rPr>
          <w:rFonts w:ascii="Arial" w:hAnsi="Arial"/>
          <w:color w:val="1E1E1E"/>
          <w:sz w:val="19"/>
        </w:rPr>
        <w:t>PVA wood glue is applied by brush, roller, spreader, or extrusion. For optimal bond strength, apply a uniform film at 150–250 g/m² (single spread) or 100–150 g/m² (double spread). Clamping pressure should be 0.7–1.4 MPa for softwoods and 1.0–2.0 MPa for hardwoods. Cure time at 21°C is 30–60 minutes under clamp, with full strength achieved after 24 hours. Type III requires longer clamp time (60–90 minutes) due to slower water evaporation.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Application temperature range: 10–35°C (Type II), 15–35°C (Type III).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Do not apply below MFFT; film will crack and bond will fail.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Use stainless steel or plastic spreader rollers to avoid corrosion from acidic pH.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Clean tools and spills with warm water before glue dries.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For RF gluing, adjust generator power to achieve 80–100°C at glue line within 30 seconds.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Do not mix with solvents, fillers, or other adhesives unless specified by manufacturer.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Avoid over-clamping; excessive squeeze-out indicates too much glue or pressure.</w:t>
      </w:r>
    </w:p>
    <w:p>
      <w:r>
        <w:rPr>
          <w:rFonts w:ascii="Arial" w:hAnsi="Arial"/>
          <w:b/>
          <w:color w:val="1A9E9E"/>
          <w:sz w:val="22"/>
        </w:rPr>
        <w:t>4.0 Common Defects &amp; Quality Control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if glue has separated, curdled, or formed a rubbery skin on surface.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if viscosity is outside specified range (e.g., too thick or watery).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if pH is below 3.5 or above 6.0 (indicates emulsion instability).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if freeze-thaw stability fails: no gelation or coagulation after 3 cycles of -10°C to 25°C.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if bond line shows visible voids, bubbles, or delamination after cure.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if shear strength is below 8 MPa after 7-day cure per ASTM D-905.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if water resistance fails: Type II shows delamination after 3-cycle soak; Type III after 4-cycle boil.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Acceptable squeeze-out: continuous bead 1–3 mm wide after clamping.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Perform a 24-hour cold soak test on a sample joint: no visible separation or softening.</w:t>
      </w:r>
    </w:p>
    <w:p>
      <w:r>
        <w:rPr>
          <w:rFonts w:ascii="Arial" w:hAnsi="Arial"/>
          <w:b/>
          <w:color w:val="1A9E9E"/>
          <w:sz w:val="22"/>
        </w:rPr>
        <w:t>5.0 Storage, Handling &amp; WHMIS Guidelines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800"/>
      </w:tblGrid>
      <w:tr>
        <w:tc>
          <w:tcPr>
            <w:tcW w:type="dxa" w:w="10800"/>
            <w:shd w:fill="F4F5F7"/>
            <w:tcMar>
              <w:top w:w="140" w:type="dxa"/>
              <w:bottom w:w="140" w:type="dxa"/>
              <w:left w:w="180" w:type="dxa"/>
              <w:right w:w="180" w:type="dxa"/>
            </w:tcMar>
            <w:tcBorders>
              <w:left w:val="single" w:sz="24" w:space="0" w:color="EF4444"/>
              <w:top w:val="none"/>
              <w:right w:val="none"/>
              <w:bottom w:val="none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E1E1E"/>
                <w:sz w:val="19"/>
              </w:rPr>
              <w:t>•  Store in original sealed containers at 5–30°C. Do not freeze; freezing causes irreversible gelation.</w:t>
              <w:br/>
            </w:r>
            <w:r>
              <w:rPr>
                <w:rFonts w:ascii="Arial" w:hAnsi="Arial"/>
                <w:color w:val="1E1E1E"/>
                <w:sz w:val="19"/>
              </w:rPr>
              <w:t>•  Keep away from direct sunlight and heat sources above 40°C.</w:t>
              <w:br/>
            </w:r>
            <w:r>
              <w:rPr>
                <w:rFonts w:ascii="Arial" w:hAnsi="Arial"/>
                <w:color w:val="1E1E1E"/>
                <w:sz w:val="19"/>
              </w:rPr>
              <w:t>•  Shelf life: 12 months from manufacture date. Use FIFO (first-in, first-out) inventory rotation.</w:t>
              <w:br/>
            </w:r>
            <w:r>
              <w:rPr>
                <w:rFonts w:ascii="Arial" w:hAnsi="Arial"/>
                <w:color w:val="1E1E1E"/>
                <w:sz w:val="19"/>
              </w:rPr>
              <w:t>•  WHMIS classification: Not classified as hazardous under WHMIS 2015 (GHS). However, may cause mild eye or skin irritation.</w:t>
              <w:br/>
            </w:r>
            <w:r>
              <w:rPr>
                <w:rFonts w:ascii="Arial" w:hAnsi="Arial"/>
                <w:color w:val="1E1E1E"/>
                <w:sz w:val="19"/>
              </w:rPr>
              <w:t>•  Mandatory PPE: Safety glasses with side shields; nitrile gloves if handling large quantities.</w:t>
              <w:br/>
            </w:r>
            <w:r>
              <w:rPr>
                <w:rFonts w:ascii="Arial" w:hAnsi="Arial"/>
                <w:color w:val="1E1E1E"/>
                <w:sz w:val="19"/>
              </w:rPr>
              <w:t>•  In case of skin contact: wash with soap and water. For eye contact: flush with water for 15 minutes.</w:t>
              <w:br/>
            </w:r>
            <w:r>
              <w:rPr>
                <w:rFonts w:ascii="Arial" w:hAnsi="Arial"/>
                <w:color w:val="1E1E1E"/>
                <w:sz w:val="19"/>
              </w:rPr>
              <w:t>•  Do not ingest. If swallowed, do not induce vomiting; drink water and seek medical attention.</w:t>
              <w:br/>
            </w:r>
            <w:r>
              <w:rPr>
                <w:rFonts w:ascii="Arial" w:hAnsi="Arial"/>
                <w:color w:val="1E1E1E"/>
                <w:sz w:val="19"/>
              </w:rPr>
              <w:t>•  Spill management: contain with inert absorbent (sand, vermiculite); dispose as non-hazardous solid waste.</w:t>
              <w:br/>
            </w:r>
            <w:r>
              <w:rPr>
                <w:rFonts w:ascii="Arial" w:hAnsi="Arial"/>
                <w:color w:val="1E1E1E"/>
                <w:sz w:val="19"/>
              </w:rPr>
              <w:t>•  Ventilation: general room ventilation is sufficient; avoid prolonged inhalation of vapors in confined spaces.</w:t>
              <w:br/>
            </w:r>
            <w:r>
              <w:rPr>
                <w:rFonts w:ascii="Arial" w:hAnsi="Arial"/>
                <w:color w:val="1E1E1E"/>
                <w:sz w:val="19"/>
              </w:rPr>
              <w:t>•  Dispose of empty containers per local regulations; do not reuse for food or drink.</w:t>
            </w:r>
          </w:p>
        </w:tc>
      </w:tr>
    </w:tbl>
    <w:p>
      <w:pPr>
        <w:spacing w:after="240"/>
      </w:pPr>
    </w:p>
    <w:p>
      <w:pPr>
        <w:spacing w:after="280"/>
      </w:pPr>
    </w:p>
    <w:p>
      <w:pPr>
        <w:spacing w:after="0"/>
        <w:jc w:val="both"/>
      </w:pPr>
      <w:r>
        <w:rPr>
          <w:rFonts w:ascii="Arial" w:hAnsi="Arial"/>
          <w:b/>
          <w:color w:val="787878"/>
          <w:sz w:val="15"/>
        </w:rPr>
        <w:t xml:space="preserve">Regulatory Disclaimer: </w:t>
      </w:r>
      <w:r>
        <w:rPr>
          <w:rFonts w:ascii="Arial" w:hAnsi="Arial"/>
          <w:color w:val="787878"/>
          <w:sz w:val="15"/>
        </w:rPr>
        <w:t>This document is a generic technical material specification provided for educational purposes. The end-user assumes all liability for reviewing, adapting, and validating all tolerances, properties, and safety protocols against specific OEM data sheets and local regulations before deployment.</w:t>
      </w:r>
    </w:p>
    <w:sectPr w:rsidR="00FC693F" w:rsidRPr="0006063C" w:rsidSect="00034616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pBdr>
        <w:bottom w:val="single" w:sz="4" w:space="8" w:color="D1D5DB"/>
      </w:pBdr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5400"/>
      <w:gridCol w:w="5400"/>
    </w:tblGrid>
    <w:tr>
      <w:tc>
        <w:tcPr>
          <w:tcW w:type="dxa" w:w="5400"/>
        </w:tcPr>
        <w:p>
          <w:r>
            <w:rPr>
              <w:rFonts w:ascii="Arial" w:hAnsi="Arial"/>
              <w:color w:val="787878"/>
              <w:sz w:val="17"/>
            </w:rPr>
            <w:t>SupplyGrid Operations &amp; Inventory</w:t>
          </w:r>
        </w:p>
      </w:tc>
      <w:tc>
        <w:tcPr>
          <w:tcW w:type="dxa" w:w="5400"/>
        </w:tcPr>
        <w:p>
          <w:pPr>
            <w:jc w:val="right"/>
          </w:pPr>
          <w:r>
            <w:rPr>
              <w:rFonts w:ascii="Arial" w:hAnsi="Arial"/>
              <w:b/>
              <w:color w:val="1A9E9E"/>
              <w:sz w:val="17"/>
            </w:rPr>
            <w:t>ryxen.ca</w:t>
          </w:r>
        </w:p>
      </w:tc>
    </w:tr>
  </w:tbl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