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Semi-Synthetic CNC Coolant: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Semi-synthetic CNC coolant is a hybrid metalworking fluid that combines the lubricity of soluble oils with the cooling and cleanliness of synthetic fluids. It consists of a stable emulsion of mineral oil (typically 5-30%) in water, along with emulsifiers, corrosion inhibitors, biocides, and anti-foaming agents. This formulation provides excellent heat dissipation, chip flushing, and rust protection while leaving a less oily residue than traditional soluble oils.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Common industrial applications include general machining, turning, milling, drilling, and grinding of ferrous and non-ferrous metals such as steel, stainless steel, aluminum, and cast iron. It is widely used in CNC machining centers, automatic lathes, and transfer lines where a balance of cooling and lubrication is required. Semi-synthetic coolants are preferred in operations with high coolant flow rates and central filtration systems due to their long sump life and resistance to bacterial growth.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Appearance: Translucent to milky white emulsion (concentrate is typically amber to dark brown liquid).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Concentrate density at 20°C: 0.95 – 1.05 g/mL (varies by formulation).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pH at recommended dilution (5-10%): 8.5 – 9.5 (alkaline range for corrosion inhibition).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Refractive index factor (RI factor): Typically 1.0 – 1.2 (used for concentration measurement with a refractometer).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Recommended dilution ratio: 5% to 10% by volume (1:20 to 1:10 concentrate-to-water).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Viscosity of concentrate at 40°C: 20 – 100 cSt (varies by brand and formulation).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Flash point (concentrate): &gt;150°C (typically not flammable at use dilution).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Corrosion protection: Passes ASTM D-4627 (cast iron chip test) at 5% dilution.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packaging: 20 L pails, 55 gal drums, 205 L drums, 1000 L IBC totes.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Semi-synthetic coolants are ready-to-use after dilution with water. Mixing must be performed carefully to ensure a stable emulsion. Always add concentrate to water, never water to concentrate, to prevent inversion and separation. Use a mixing proportioner or pre-mix tank with agitation for consistent concentration.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Water quality: Use deionized or softened water (hardness &lt;200 ppm CaCO3) to prevent emulsion instability and scale buildup.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Mixing temperature: 10-30°C for both water and concentrate to ensure proper emulsification.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Recommended concentration for general machining: 6-8% (check refractometer reading against RI factor).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For aluminum or high-lubricity applications: Increase to 8-10% concentration.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For grinding operations: Use 4-6% concentration with enhanced filtration.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Coolant pressure: 30-60 psi for flood cooling; 100-300 psi for through-spindle or high-pressure systems.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Filtration: Recommend 50-100 micron filtration for general machining; 10-30 micron for grinding or high-finish applications.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Sump life: 6-12 months with proper maintenance (concentration control, pH monitoring, biocide dosing).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concentrate shows visible separation, sediment, or gel formation at the bottom of the container.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emulsion is unstable: oil layer floating on top or water layer at bottom after 24 hours of mixing.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pH drops below 8.0 (indicates bacterial growth or depletion of corrosion inhibitors).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pH exceeds 10.0 (risk of skin irritation and aluminum staining).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concentration varies by more than ±1% from target (measured by refractometer).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foul odor (rotten egg, sour) is present, indicating anaerobic bacterial contamination.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excessive foaming occurs during normal flow rates (anti-foam additive depletion).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emulsion leaves sticky or gummy residue on machined parts or machine surfaces.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concentrate has passed its shelf life (typically 1-2 years from manufacture date).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concentrate in original sealed containers at 5-40°C, away from direct sunlight and freezing temperatures.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12-24 months from date of manufacture (check label for expiry).</w:t>
              <w:br/>
            </w:r>
            <w:r>
              <w:rPr>
                <w:rFonts w:ascii="Arial" w:hAnsi="Arial"/>
                <w:color w:val="1E1E1E"/>
                <w:sz w:val="19"/>
              </w:rPr>
              <w:t>•  Follow FIFO (First In, First Out) inventory rotation to prevent aging of concentrate.</w:t>
              <w:br/>
            </w:r>
            <w:r>
              <w:rPr>
                <w:rFonts w:ascii="Arial" w:hAnsi="Arial"/>
                <w:color w:val="1E1E1E"/>
                <w:sz w:val="19"/>
              </w:rPr>
              <w:t>•  WHMIS hazard classification: May be classified as Class D2B (toxic materials) or Class E (corrosive) depending on formulation. Always consult Safety Data Sheet (SDS).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PPE: Chemical-resistant gloves (nitrile or neoprene), safety glasses with side shields, and chemical-resistant apron during mixing or handling concentrate.</w:t>
              <w:br/>
            </w:r>
            <w:r>
              <w:rPr>
                <w:rFonts w:ascii="Arial" w:hAnsi="Arial"/>
                <w:color w:val="1E1E1E"/>
                <w:sz w:val="19"/>
              </w:rPr>
              <w:t>•  Ventilation: Use local exhaust ventilation when mixing concentrate to avoid inhalation of mists or vapors.</w:t>
              <w:br/>
            </w:r>
            <w:r>
              <w:rPr>
                <w:rFonts w:ascii="Arial" w:hAnsi="Arial"/>
                <w:color w:val="1E1E1E"/>
                <w:sz w:val="19"/>
              </w:rPr>
              <w:t>•  Spill containment: Use absorbent pads or vermiculite for small spills; contain large spills with dikes and dispose per local regulations.</w:t>
              <w:br/>
            </w:r>
            <w:r>
              <w:rPr>
                <w:rFonts w:ascii="Arial" w:hAnsi="Arial"/>
                <w:color w:val="1E1E1E"/>
                <w:sz w:val="19"/>
              </w:rPr>
              <w:t>•  Disposal: Do not drain to sewers or waterways. Collect used coolant and dispose as industrial waste per provincial regulations (e.g., Ontario Regulation 347).</w:t>
              <w:br/>
            </w:r>
            <w:r>
              <w:rPr>
                <w:rFonts w:ascii="Arial" w:hAnsi="Arial"/>
                <w:color w:val="1E1E1E"/>
                <w:sz w:val="19"/>
              </w:rPr>
              <w:t>•  First aid: In case of skin contact, wash with soap and water. For eye contact, flush with water for 15 minutes and seek medical attention. If ingested, do not induce vomiting; call poison control.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