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Tgic Polyester Powder Coat Resin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TGIC (Triglycidyl Isocyanurate) Polyester Powder Coat Resin is a thermosetting polymer system used extensively in industrial powder coating applications. It consists of a carboxyl-functional polyester resin cross-linked with TGIC hardener, forming a durable, weather-resistant, and chemically stable coating upon curing. This material is the industry standard for exterior-grade powder coatings due to its excellent UV resistance, gloss retention, and mechanical toughness.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applications include architectural aluminum extrusions, automotive wheels and trim, outdoor furniture, agricultural equipment, HVAC components, and general metal fabrication requiring long-term outdoor exposure. TGIC polyester systems are typically applied via electrostatic spray deposition (ESD) and cured in convection ovens at elevated temperatures.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1.4–1.6 g/cm³ (typical for formulated powder; varies with pigment and filler loading)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Glass transition temperature (Tg): 55–65°C (uncured powder); cured film Tg: 70–85°C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Particle size distribution: D50 = 25–45 µm (standard grade); D10 ≥ 10 µm, D90 ≤ 90 µm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Gel time at 200°C: 60–120 seconds (per ISO 8130-6)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Cure schedule: 10–15 minutes at 200°C (metal temperature); 15–20 minutes at 180°C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Theoretical coverage: 10–12 m²/kg at 60 µm film thickness (typical)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Storage stability: 12 months from date of manufacture when stored below 30°C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packaging: 20 kg sealed polyethylene-lined cardboard boxes or 500 kg supersacks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TGIC polyester powder is applied using electrostatic spray guns (corona or tribo charging) at 30–80 kV. The powder is fluidized in a hopper and conveyed to the gun via compressed air. Substrates must be clean, degreased, and pretreated (iron phosphate, zinc phosphate, or chromate conversion) for optimal adhesion and corrosion resistance.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Recommended film thickness: 50–80 µm (single coat); 100–150 µm for heavy-duty applications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Curing oven temperature: 180–200°C (metal temperature); ramp rate ≤ 20°C/min to avoid blistering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Gun-to-part distance: 150–250 mm; fluidization air pressure: 0.5–1.5 bar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Reclaim powder: up to 30% virgin blend acceptable; sieve through 100 µm mesh before reuse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Do not exceed 220°C metal temperature – thermal degradation and yellowing may occur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Post-cure cooling: air cool to below 60°C before handling to prevent deformation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gel time deviates more than ±15% from supplier specification (per ISO 8130-6)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particle size D50 is outside 25–45 µm range – causes poor fluidization or orange peel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moisture content exceeds 0.5% (Karl Fischer titration) – causes pinholing and outgassing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cured film exhibits craters, pinholes, or blisters &gt; 0.5 mm diameter per 100 cm²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gloss variation exceeds ±5 units from standard at 60° angle (per ASTM D523)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impact resistance (direct) is less than 40 in-lb (ASTM D2794) – indicates undercure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cross-hatch adhesion test shows &gt; 5% removal (per ASTM D3359)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MEK double rubs (ASTM D5402) show film removal before 50 rubs – indicates undercure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original sealed containers in a cool, dry area below 30°C and below 60% relative humidity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12 months from manufacture date; use FIFO rotation; discard any powder that has caked or hardened</w:t>
              <w:br/>
            </w:r>
            <w:r>
              <w:rPr>
                <w:rFonts w:ascii="Arial" w:hAnsi="Arial"/>
                <w:color w:val="1E1E1E"/>
                <w:sz w:val="19"/>
              </w:rPr>
              <w:t>•  Avoid exposure to direct sunlight, heat sources, and open flames – powder is combustible in dust cloud form</w:t>
              <w:br/>
            </w:r>
            <w:r>
              <w:rPr>
                <w:rFonts w:ascii="Arial" w:hAnsi="Arial"/>
                <w:color w:val="1E1E1E"/>
                <w:sz w:val="19"/>
              </w:rPr>
              <w:t>•  WHMIS hazard classification: Combustible Dust (Hazards not otherwise classified); TGIC component is toxic if ingested or inhaled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NIOSH-approved N95 respirator (or half-mask with P100 filter) during handling and spraying; safety glasses; anti-static clothing; nitrile gloves</w:t>
              <w:br/>
            </w:r>
            <w:r>
              <w:rPr>
                <w:rFonts w:ascii="Arial" w:hAnsi="Arial"/>
                <w:color w:val="1E1E1E"/>
                <w:sz w:val="19"/>
              </w:rPr>
              <w:t>•  Use explosion-proof electrical equipment in spray booth and storage areas; ground all equipment to prevent static discharge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skin contact, wash with cool water and mild soap; do not use solvents. For eye contact, flush with water for 15 minutes and seek medical attention</w:t>
              <w:br/>
            </w:r>
            <w:r>
              <w:rPr>
                <w:rFonts w:ascii="Arial" w:hAnsi="Arial"/>
                <w:color w:val="1E1E1E"/>
                <w:sz w:val="19"/>
              </w:rPr>
              <w:t>•  Spill cleanup: use HEPA-filtered vacuum or wet sweeping; do not use compressed air. Dispose as non-hazardous waste per local regulations (cured material is inert)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